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6.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HNTTitle"/>
        <w:spacing w:before="480" w:after="240"/>
        <w:rPr/>
      </w:pPr>
      <w:r>
        <w:rPr/>
        <w:t>Guidelines for Contributions to the CHNT Proceedings</w:t>
      </w:r>
    </w:p>
    <w:p>
      <w:pPr>
        <w:pStyle w:val="CHNTText"/>
        <w:rPr/>
      </w:pPr>
      <w:r>
        <w:rPr/>
        <w:t>Dear contributor,</w:t>
      </w:r>
    </w:p>
    <w:p>
      <w:pPr>
        <w:pStyle w:val="CHNTText"/>
        <w:rPr/>
      </w:pPr>
      <w:r>
        <w:rPr/>
        <w:t>we are happy that you are willing to publish your work in the CHNT conference proceedings. We kindly ask you to follow these guidelines strictly to ensure a smooth and quick review and publication process.</w:t>
      </w:r>
    </w:p>
    <w:p>
      <w:pPr>
        <w:pStyle w:val="CHNTHeading1"/>
        <w:rPr/>
      </w:pPr>
      <w:r>
        <w:rPr/>
        <w:t>Template</w:t>
      </w:r>
    </w:p>
    <w:p>
      <w:pPr>
        <w:pStyle w:val="CHNTText"/>
        <w:rPr/>
      </w:pPr>
      <w:r>
        <w:rPr/>
        <w:t>Please use the style-shee</w:t>
      </w:r>
      <w:r>
        <w:rPr/>
        <w:t>ts</w:t>
      </w:r>
      <w:r>
        <w:rPr/>
        <w:t xml:space="preserve"> provided </w:t>
      </w:r>
      <w:r>
        <w:rPr/>
        <w:t xml:space="preserve">in the template starting from page 4 in this document </w:t>
      </w:r>
      <w:r>
        <w:rPr/>
        <w:t xml:space="preserve">to prepare your </w:t>
      </w:r>
      <w:r>
        <w:rPr/>
        <w:t>submission</w:t>
      </w:r>
      <w:r>
        <w:rPr/>
        <w:t>.</w:t>
      </w:r>
    </w:p>
    <w:p>
      <w:pPr>
        <w:pStyle w:val="CHNTHeading1"/>
        <w:rPr/>
      </w:pPr>
      <w:r>
        <w:rPr/>
        <w:t>Length of abstracts and papers</w:t>
      </w:r>
    </w:p>
    <w:p>
      <w:pPr>
        <w:pStyle w:val="CHNTText"/>
        <w:rPr/>
      </w:pPr>
      <w:r>
        <w:rPr/>
        <w:t xml:space="preserve">The length of the short paper is between 5.000 to 10.000 characters (not including captions and references); at least one illustration is required </w:t>
      </w:r>
      <w:r>
        <w:rPr/>
        <w:t>and maximum 3 are allowed</w:t>
      </w:r>
      <w:r>
        <w:rPr/>
        <w:t xml:space="preserve">. </w:t>
      </w:r>
      <w:r>
        <w:rPr/>
        <w:t>Long p</w:t>
      </w:r>
      <w:r>
        <w:rPr/>
        <w:t xml:space="preserve">apers must have a length </w:t>
      </w:r>
      <w:r>
        <w:rPr/>
        <w:t>of</w:t>
      </w:r>
      <w:r>
        <w:rPr/>
        <w:t xml:space="preserve"> 10.000 to 25.000 character </w:t>
      </w:r>
      <w:r>
        <w:rPr/>
        <w:t>and maximum 10 figures.</w:t>
      </w:r>
      <w:r>
        <w:rPr/>
        <w:t xml:space="preserve"> Every paper must have an abstract of between 200 and 300 words.</w:t>
      </w:r>
    </w:p>
    <w:p>
      <w:pPr>
        <w:pStyle w:val="CHNTHeading1"/>
        <w:rPr/>
      </w:pPr>
      <w:r>
        <w:rPr/>
        <w:t>Language</w:t>
      </w:r>
    </w:p>
    <w:p>
      <w:pPr>
        <w:pStyle w:val="CHNTText"/>
        <w:rPr/>
      </w:pPr>
      <w:r>
        <w:rPr/>
        <w:t>All contributions</w:t>
      </w:r>
      <w:r>
        <w:rPr/>
        <w:t xml:space="preserve"> must be written either in British or American English (the spelling should not be mixed). If your native language is not English, please ask a native English-speaking colleague to proofread your text. </w:t>
      </w:r>
      <w:r>
        <w:rPr/>
        <w:t xml:space="preserve">Contributions </w:t>
      </w:r>
      <w:r>
        <w:rPr/>
        <w:t>must not be written in first person (“the survey project has been planned” instead of “we planned the survey project”) or active voice.</w:t>
      </w:r>
    </w:p>
    <w:p>
      <w:pPr>
        <w:pStyle w:val="CHNTHeading1"/>
        <w:rPr/>
      </w:pPr>
      <w:r>
        <w:rPr/>
        <w:t>Abbreviations, units, and numbers</w:t>
      </w:r>
    </w:p>
    <w:p>
      <w:pPr>
        <w:pStyle w:val="CHNTText"/>
        <w:rPr/>
      </w:pPr>
      <w:r>
        <w:rPr/>
        <w:t>Use standard abbreviations for metric units (km, kg, m, etc.) without final full stops. Square metres should be expressed as m². Please define non-trivial abbreviations and acronyms the first time they are used in the text.</w:t>
      </w:r>
    </w:p>
    <w:p>
      <w:pPr>
        <w:pStyle w:val="CHNTText"/>
        <w:rPr/>
      </w:pPr>
      <w:r>
        <w:rPr/>
        <w:t>Whenever a number occurs, make sure the number is separated with a protected space to prevent a line break between the number and its according information/unit. E.g., 100 km², Fig. 3, Henry VII., Table 1. The protected space is inserted by pressing [Ctrl]+[Shift]+[Space] in many word-processing software. Turn on the formatting symbols to check if the protected space is in place.</w:t>
      </w:r>
    </w:p>
    <w:p>
      <w:pPr>
        <w:pStyle w:val="CHNTHeading1"/>
        <w:rPr/>
      </w:pPr>
      <w:r>
        <w:rPr/>
        <w:t>Footnotes</w:t>
      </w:r>
    </w:p>
    <w:p>
      <w:pPr>
        <w:pStyle w:val="CHNTText"/>
        <w:rPr/>
      </w:pPr>
      <w:r>
        <w:rPr/>
        <w:t xml:space="preserve">Please use footnotes instead of endnotes for more detailed remarks and also for hyperlinks to internet resources. </w:t>
      </w:r>
    </w:p>
    <w:p>
      <w:pPr>
        <w:pStyle w:val="CHNTHeading1"/>
        <w:rPr/>
      </w:pPr>
      <w:r>
        <w:rPr/>
        <w:t>Figures</w:t>
      </w:r>
    </w:p>
    <w:p>
      <w:pPr>
        <w:pStyle w:val="CHNTText"/>
        <w:rPr/>
      </w:pPr>
      <w:r>
        <w:rPr/>
        <w:t>Figures must be submitted as separate files in well-established raster graphic formats, such as *.tif, *.png, *.gif. Please use the following naming convention:</w:t>
      </w:r>
    </w:p>
    <w:p>
      <w:pPr>
        <w:pStyle w:val="CHNTText"/>
        <w:rPr/>
      </w:pPr>
      <w:r>
        <w:rPr/>
        <mc:AlternateContent>
          <mc:Choice Requires="wps">
            <w:drawing>
              <wp:inline distT="0" distB="0" distL="0" distR="0">
                <wp:extent cx="6119495" cy="244475"/>
                <wp:effectExtent l="0" t="0" r="0" b="0"/>
                <wp:docPr id="1" name="Rechteck 3"/>
                <a:graphic xmlns:a="http://schemas.openxmlformats.org/drawingml/2006/main">
                  <a:graphicData uri="http://schemas.microsoft.com/office/word/2010/wordprocessingShape">
                    <wps:wsp>
                      <wps:cNvSpPr/>
                      <wps:spPr>
                        <a:xfrm>
                          <a:off x="0" y="0"/>
                          <a:ext cx="6119640" cy="244440"/>
                        </a:xfrm>
                        <a:custGeom>
                          <a:avLst/>
                          <a:gdLst/>
                          <a:ahLst/>
                          <a:rect l="l" t="t" r="r" b="b"/>
                          <a:pathLst>
                            <a:path w="21600" h="21600">
                              <a:moveTo>
                                <a:pt x="0" y="0"/>
                              </a:moveTo>
                              <a:lnTo>
                                <a:pt x="21600" y="0"/>
                              </a:lnTo>
                              <a:lnTo>
                                <a:pt x="21600" y="21600"/>
                              </a:lnTo>
                              <a:lnTo>
                                <a:pt x="0" y="21600"/>
                              </a:lnTo>
                              <a:close/>
                            </a:path>
                          </a:pathLst>
                        </a:custGeom>
                        <a:solidFill>
                          <a:srgbClr val="f2f2f2"/>
                        </a:solidFill>
                        <a:ln w="6480">
                          <a:solidFill>
                            <a:srgbClr val="000000"/>
                          </a:solidFill>
                          <a:round/>
                        </a:ln>
                      </wps:spPr>
                      <wps:style>
                        <a:lnRef idx="0"/>
                        <a:fillRef idx="0"/>
                        <a:effectRef idx="0"/>
                        <a:fontRef idx="minor"/>
                      </wps:style>
                      <wps:txbx>
                        <w:txbxContent>
                          <w:p>
                            <w:pPr>
                              <w:spacing w:before="0" w:after="0" w:lineRule="auto" w:line="240"/>
                              <w:rPr/>
                            </w:pPr>
                            <w:r>
                              <w:rPr>
                                <w:sz w:val="20"/>
                                <w:szCs w:val="20"/>
                                <w:lang w:val="de-AT" w:eastAsia="de-AT"/>
                              </w:rPr>
                              <w:t>figure_01.png, figure_02.png, etc.</w:t>
                            </w:r>
                          </w:p>
                        </w:txbxContent>
                      </wps:txbx>
                      <wps:bodyPr anchor="ctr">
                        <a:spAutoFit/>
                      </wps:bodyPr>
                    </wps:wsp>
                  </a:graphicData>
                </a:graphic>
              </wp:inline>
            </w:drawing>
          </mc:Choice>
          <mc:Fallback>
            <w:pict>
              <v:shape id="shape_0" ID="Rechteck 3" coordsize="21600,21600" path="m0,0l21600,0l21600,21600l0,21600xe" fillcolor="#f2f2f2" stroked="t" o:allowincell="f" style="position:absolute;margin-left:0pt;margin-top:-19.3pt;width:481.8pt;height:19.2pt;mso-wrap-style:square;v-text-anchor:middle;mso-position-vertical:top">
                <v:textbox>
                  <w:txbxContent>
                    <w:p>
                      <w:pPr>
                        <w:spacing w:before="0" w:after="0" w:lineRule="auto" w:line="240"/>
                        <w:rPr/>
                      </w:pPr>
                      <w:r>
                        <w:rPr>
                          <w:sz w:val="20"/>
                          <w:szCs w:val="20"/>
                          <w:lang w:val="de-AT" w:eastAsia="de-AT"/>
                        </w:rPr>
                        <w:t>figure_01.png, figure_02.png, etc.</w:t>
                      </w:r>
                    </w:p>
                  </w:txbxContent>
                </v:textbox>
                <v:fill o:detectmouseclick="t" type="solid" color2="#0d0d0d"/>
                <v:stroke color="black" weight="6480" joinstyle="round" endcap="flat"/>
                <w10:wrap type="square"/>
              </v:shape>
            </w:pict>
          </mc:Fallback>
        </mc:AlternateContent>
      </w:r>
    </w:p>
    <w:p>
      <w:pPr>
        <w:pStyle w:val="CHNTText"/>
        <w:keepNext w:val="true"/>
        <w:rPr/>
      </w:pPr>
      <w:r>
        <w:rPr/>
        <w:t>Every figure must be referenced in the text by an anchor in Brackets, e.g.</w:t>
      </w:r>
    </w:p>
    <w:p>
      <w:pPr>
        <w:pStyle w:val="CHNTText"/>
        <w:rPr/>
      </w:pPr>
      <w:r>
        <w:rPr/>
        <mc:AlternateContent>
          <mc:Choice Requires="wps">
            <w:drawing>
              <wp:inline distT="0" distB="0" distL="0" distR="0">
                <wp:extent cx="6119495" cy="549275"/>
                <wp:effectExtent l="0" t="0" r="0" b="0"/>
                <wp:docPr id="2" name="Rechteck 4"/>
                <a:graphic xmlns:a="http://schemas.openxmlformats.org/drawingml/2006/main">
                  <a:graphicData uri="http://schemas.microsoft.com/office/word/2010/wordprocessingShape">
                    <wps:wsp>
                      <wps:cNvSpPr/>
                      <wps:spPr>
                        <a:xfrm>
                          <a:off x="0" y="0"/>
                          <a:ext cx="6119640" cy="549360"/>
                        </a:xfrm>
                        <a:custGeom>
                          <a:avLst/>
                          <a:gdLst/>
                          <a:ahLst/>
                          <a:rect l="l" t="t" r="r" b="b"/>
                          <a:pathLst>
                            <a:path w="21600" h="21600">
                              <a:moveTo>
                                <a:pt x="0" y="0"/>
                              </a:moveTo>
                              <a:lnTo>
                                <a:pt x="21600" y="0"/>
                              </a:lnTo>
                              <a:lnTo>
                                <a:pt x="21600" y="21600"/>
                              </a:lnTo>
                              <a:lnTo>
                                <a:pt x="0" y="21600"/>
                              </a:lnTo>
                              <a:close/>
                            </a:path>
                          </a:pathLst>
                        </a:custGeom>
                        <a:solidFill>
                          <a:srgbClr val="f2f2f2"/>
                        </a:solidFill>
                        <a:ln w="6480">
                          <a:solidFill>
                            <a:srgbClr val="000000"/>
                          </a:solidFill>
                          <a:round/>
                        </a:ln>
                      </wps:spPr>
                      <wps:style>
                        <a:lnRef idx="0"/>
                        <a:fillRef idx="0"/>
                        <a:effectRef idx="0"/>
                        <a:fontRef idx="minor"/>
                      </wps:style>
                      <wps:txbx>
                        <w:txbxContent>
                          <w:p>
                            <w:pPr>
                              <w:spacing w:before="0" w:after="0" w:lineRule="auto" w:line="240"/>
                              <w:rPr/>
                            </w:pPr>
                            <w:r>
                              <w:rPr>
                                <w:sz w:val="20"/>
                                <w:szCs w:val="20"/>
                                <w:lang w:val="de-AT" w:eastAsia="de-AT"/>
                              </w:rPr>
                              <w:t>The template is there to guarantee a smooth publishing process and a neat appearance of the proceedings (see Figure 1). Not using the submission form will result in a delay of publication, a frustrated and overloaded committee, and unforgiving reviewers (Figure 2).</w:t>
                            </w:r>
                          </w:p>
                        </w:txbxContent>
                      </wps:txbx>
                      <wps:bodyPr anchor="ctr">
                        <a:spAutoFit/>
                      </wps:bodyPr>
                    </wps:wsp>
                  </a:graphicData>
                </a:graphic>
              </wp:inline>
            </w:drawing>
          </mc:Choice>
          <mc:Fallback>
            <w:pict>
              <v:shape id="shape_0" ID="Rechteck 4" coordsize="21600,21600" path="m0,0l21600,0l21600,21600l0,21600xe" fillcolor="#f2f2f2" stroked="t" o:allowincell="f" style="position:absolute;margin-left:0pt;margin-top:-43.3pt;width:481.8pt;height:43.2pt;mso-wrap-style:square;v-text-anchor:middle;mso-position-vertical:top">
                <v:textbox>
                  <w:txbxContent>
                    <w:p>
                      <w:pPr>
                        <w:spacing w:before="0" w:after="0" w:lineRule="auto" w:line="240"/>
                        <w:rPr/>
                      </w:pPr>
                      <w:r>
                        <w:rPr>
                          <w:sz w:val="20"/>
                          <w:szCs w:val="20"/>
                          <w:lang w:val="de-AT" w:eastAsia="de-AT"/>
                        </w:rPr>
                        <w:t>The template is there to guarantee a smooth publishing process and a neat appearance of the proceedings (see Figure 1). Not using the submission form will result in a delay of publication, a frustrated and overloaded committee, and unforgiving reviewers (Figure 2).</w:t>
                      </w:r>
                    </w:p>
                  </w:txbxContent>
                </v:textbox>
                <v:fill o:detectmouseclick="t" type="solid" color2="#0d0d0d"/>
                <v:stroke color="black" weight="6480" joinstyle="round" endcap="flat"/>
                <w10:wrap type="square"/>
              </v:shape>
            </w:pict>
          </mc:Fallback>
        </mc:AlternateContent>
      </w:r>
    </w:p>
    <w:p>
      <w:pPr>
        <w:pStyle w:val="CHNTText"/>
        <w:rPr/>
      </w:pPr>
      <w:r>
        <w:rPr/>
        <w:t xml:space="preserve">Please enter all the figure captions in the table below the text. Figure captions should consist of complete sentences and explain the context visible in the Figure well. </w:t>
      </w:r>
    </w:p>
    <w:p>
      <w:pPr>
        <w:pStyle w:val="CHNTText"/>
        <w:rPr/>
      </w:pPr>
      <w:r>
        <w:rPr/>
        <w:t xml:space="preserve">There are two sizes of figures possible: Full page (17 cm width) or half page (8 cm width). If you include </w:t>
      </w:r>
      <w:r>
        <w:rPr/>
        <w:t>t</w:t>
      </w:r>
      <w:r>
        <w:rPr/>
        <w:t>ext in your figures, make sure it is large enough to be used in print, given the desired size of the Figure. The resolution must be at least 300 dpi.</w:t>
      </w:r>
    </w:p>
    <w:p>
      <w:pPr>
        <w:pStyle w:val="CHNTHeading1"/>
        <w:rPr/>
      </w:pPr>
      <w:r>
        <w:rPr/>
        <w:t>Copyrighted Material</w:t>
      </w:r>
    </w:p>
    <w:p>
      <w:pPr>
        <w:pStyle w:val="CHNTText"/>
        <w:rPr>
          <w:highlight w:val="none"/>
          <w:shd w:fill="auto" w:val="clear"/>
        </w:rPr>
      </w:pPr>
      <w:r>
        <w:rPr>
          <w:shd w:fill="auto" w:val="clear"/>
        </w:rPr>
        <w:t xml:space="preserve">Authors must obtain permission to publish illustrations taken from a copyrighted source. The figure caption must include the appropriate copyright information </w:t>
      </w:r>
      <w:r>
        <w:rPr>
          <w:shd w:fill="auto" w:val="clear"/>
        </w:rPr>
        <w:t xml:space="preserve">preceded by a </w:t>
      </w:r>
      <w:r>
        <w:rPr>
          <w:rFonts w:cs="Arial" w:ascii="Liberation Serif" w:hAnsi="Liberation Serif"/>
          <w:shd w:fill="auto" w:val="clear"/>
        </w:rPr>
        <w:t>©</w:t>
      </w:r>
      <w:r>
        <w:rPr>
          <w:shd w:fill="auto" w:val="clear"/>
        </w:rPr>
        <w:t xml:space="preserve">. </w:t>
      </w:r>
      <w:r>
        <w:rPr>
          <w:shd w:fill="auto" w:val="clear"/>
        </w:rPr>
        <w:t>If the author is the copyright holder please mark this by “</w:t>
      </w:r>
      <w:r>
        <w:rPr>
          <w:rFonts w:cs="Arial" w:ascii="Liberation Serif" w:hAnsi="Liberation Serif"/>
          <w:shd w:fill="auto" w:val="clear"/>
        </w:rPr>
        <w:t>©</w:t>
      </w:r>
      <w:r>
        <w:rPr>
          <w:rFonts w:cs="Arial"/>
          <w:shd w:fill="auto" w:val="clear"/>
        </w:rPr>
        <w:t xml:space="preserve"> </w:t>
      </w:r>
      <w:r>
        <w:rPr>
          <w:shd w:fill="auto" w:val="clear"/>
        </w:rPr>
        <w:t>author</w:t>
      </w:r>
      <w:r>
        <w:rPr>
          <w:shd w:fill="auto" w:val="clear"/>
        </w:rPr>
        <w:t>(s)</w:t>
      </w:r>
      <w:r>
        <w:rPr>
          <w:shd w:fill="auto" w:val="clear"/>
        </w:rPr>
        <w:t xml:space="preserve">” </w:t>
      </w:r>
      <w:r>
        <w:rPr>
          <w:shd w:fill="auto" w:val="clear"/>
        </w:rPr>
        <w:t>or “</w:t>
      </w:r>
      <w:r>
        <w:rPr>
          <w:rFonts w:cs="Arial" w:ascii="Liberation Serif" w:hAnsi="Liberation Serif"/>
          <w:shd w:fill="auto" w:val="clear"/>
        </w:rPr>
        <w:t>©</w:t>
      </w:r>
      <w:r>
        <w:rPr>
          <w:rFonts w:cs="Arial"/>
          <w:shd w:fill="auto" w:val="clear"/>
        </w:rPr>
        <w:t xml:space="preserve"> &lt;Your Name&gt;”</w:t>
      </w:r>
      <w:r>
        <w:rPr>
          <w:shd w:fill="auto" w:val="clear"/>
        </w:rPr>
        <w:t>.</w:t>
      </w:r>
    </w:p>
    <w:p>
      <w:pPr>
        <w:pStyle w:val="CHNTHeading1"/>
        <w:rPr>
          <w:highlight w:val="none"/>
          <w:shd w:fill="auto" w:val="clear"/>
        </w:rPr>
      </w:pPr>
      <w:r>
        <w:rPr>
          <w:shd w:fill="auto" w:val="clear"/>
        </w:rPr>
        <w:t>Tables</w:t>
      </w:r>
    </w:p>
    <w:p>
      <w:pPr>
        <w:pStyle w:val="CHNTText"/>
        <w:rPr/>
      </w:pPr>
      <w:r>
        <w:rPr/>
        <w:t>Please submit tables as separate files in *.csv, *.xls or *.ods-files. In the text, include anchors, referring to the tables, e.g.</w:t>
      </w:r>
    </w:p>
    <w:p>
      <w:pPr>
        <w:pStyle w:val="CHNTText"/>
        <w:rPr/>
      </w:pPr>
      <w:r>
        <w:rPr/>
        <mc:AlternateContent>
          <mc:Choice Requires="wps">
            <w:drawing>
              <wp:inline distT="0" distB="0" distL="0" distR="0">
                <wp:extent cx="6119495" cy="244475"/>
                <wp:effectExtent l="0" t="0" r="0" b="0"/>
                <wp:docPr id="3" name="Rechteck 8"/>
                <a:graphic xmlns:a="http://schemas.openxmlformats.org/drawingml/2006/main">
                  <a:graphicData uri="http://schemas.microsoft.com/office/word/2010/wordprocessingShape">
                    <wps:wsp>
                      <wps:cNvSpPr/>
                      <wps:spPr>
                        <a:xfrm>
                          <a:off x="0" y="0"/>
                          <a:ext cx="6119640" cy="244440"/>
                        </a:xfrm>
                        <a:custGeom>
                          <a:avLst/>
                          <a:gdLst/>
                          <a:ahLst/>
                          <a:rect l="l" t="t" r="r" b="b"/>
                          <a:pathLst>
                            <a:path w="21600" h="21600">
                              <a:moveTo>
                                <a:pt x="0" y="0"/>
                              </a:moveTo>
                              <a:lnTo>
                                <a:pt x="21600" y="0"/>
                              </a:lnTo>
                              <a:lnTo>
                                <a:pt x="21600" y="21600"/>
                              </a:lnTo>
                              <a:lnTo>
                                <a:pt x="0" y="21600"/>
                              </a:lnTo>
                              <a:close/>
                            </a:path>
                          </a:pathLst>
                        </a:custGeom>
                        <a:solidFill>
                          <a:srgbClr val="f2f2f2"/>
                        </a:solidFill>
                        <a:ln w="6480">
                          <a:solidFill>
                            <a:srgbClr val="000000"/>
                          </a:solidFill>
                          <a:round/>
                        </a:ln>
                      </wps:spPr>
                      <wps:style>
                        <a:lnRef idx="0"/>
                        <a:fillRef idx="0"/>
                        <a:effectRef idx="0"/>
                        <a:fontRef idx="minor"/>
                      </wps:style>
                      <wps:txbx>
                        <w:txbxContent>
                          <w:p>
                            <w:pPr>
                              <w:spacing w:before="0" w:after="0" w:lineRule="auto" w:line="240"/>
                              <w:rPr/>
                            </w:pPr>
                            <w:r>
                              <w:rPr>
                                <w:sz w:val="20"/>
                                <w:szCs w:val="20"/>
                                <w:lang w:val="de-AT" w:eastAsia="de-AT"/>
                              </w:rPr>
                              <w:t>A larger series of numerical data is best displayed as a table (Table 1).</w:t>
                            </w:r>
                          </w:p>
                        </w:txbxContent>
                      </wps:txbx>
                      <wps:bodyPr anchor="ctr">
                        <a:spAutoFit/>
                      </wps:bodyPr>
                    </wps:wsp>
                  </a:graphicData>
                </a:graphic>
              </wp:inline>
            </w:drawing>
          </mc:Choice>
          <mc:Fallback>
            <w:pict>
              <v:shape id="shape_0" ID="Rechteck 8" coordsize="21600,21600" path="m0,0l21600,0l21600,21600l0,21600xe" fillcolor="#f2f2f2" stroked="t" o:allowincell="f" style="position:absolute;margin-left:0pt;margin-top:-19.3pt;width:481.8pt;height:19.2pt;mso-wrap-style:square;v-text-anchor:middle;mso-position-vertical:top">
                <v:textbox>
                  <w:txbxContent>
                    <w:p>
                      <w:pPr>
                        <w:spacing w:before="0" w:after="0" w:lineRule="auto" w:line="240"/>
                        <w:rPr/>
                      </w:pPr>
                      <w:r>
                        <w:rPr>
                          <w:sz w:val="20"/>
                          <w:szCs w:val="20"/>
                          <w:lang w:val="de-AT" w:eastAsia="de-AT"/>
                        </w:rPr>
                        <w:t>A larger series of numerical data is best displayed as a table (Table 1).</w:t>
                      </w:r>
                    </w:p>
                  </w:txbxContent>
                </v:textbox>
                <v:fill o:detectmouseclick="t" type="solid" color2="#0d0d0d"/>
                <v:stroke color="black" weight="6480" joinstyle="round" endcap="flat"/>
                <w10:wrap type="square"/>
              </v:shape>
            </w:pict>
          </mc:Fallback>
        </mc:AlternateContent>
      </w:r>
    </w:p>
    <w:p>
      <w:pPr>
        <w:pStyle w:val="CHNTText"/>
        <w:rPr/>
      </w:pPr>
      <w:r>
        <w:rPr/>
        <w:t>Tables should be numbered according to the order in which they first appear. For each table, captions explaining the table’s content are mandatory. Please enter all the table captions in the table further below in this document.</w:t>
      </w:r>
    </w:p>
    <w:p>
      <w:pPr>
        <w:pStyle w:val="CHNTHeading1"/>
        <w:rPr/>
      </w:pPr>
      <w:r>
        <w:rPr/>
        <w:t>References in the text</w:t>
      </w:r>
    </w:p>
    <w:p>
      <w:pPr>
        <w:pStyle w:val="CHNTText"/>
        <w:rPr/>
      </w:pPr>
      <w:r>
        <w:rPr/>
        <w:t xml:space="preserve">Please give all references according to Harvard Manchester style: </w:t>
      </w:r>
    </w:p>
    <w:p>
      <w:pPr>
        <w:pStyle w:val="CHNTText"/>
        <w:rPr/>
      </w:pPr>
      <w:hyperlink r:id="rId2">
        <w:r>
          <w:rPr>
            <w:rStyle w:val="Hyperlink"/>
          </w:rPr>
          <w:t>https://subjects.library.manchester.ac.uk/referencing-new/harvard</w:t>
        </w:r>
      </w:hyperlink>
      <w:r>
        <w:rPr/>
        <w:t xml:space="preserve"> </w:t>
      </w:r>
    </w:p>
    <w:p>
      <w:pPr>
        <w:pStyle w:val="CHNTText"/>
        <w:rPr/>
      </w:pPr>
      <w:r>
        <w:rPr/>
        <mc:AlternateContent>
          <mc:Choice Requires="wps">
            <w:drawing>
              <wp:inline distT="0" distB="0" distL="0" distR="0">
                <wp:extent cx="6119495" cy="244475"/>
                <wp:effectExtent l="0" t="0" r="0" b="0"/>
                <wp:docPr id="4" name="Rechteck 6"/>
                <a:graphic xmlns:a="http://schemas.openxmlformats.org/drawingml/2006/main">
                  <a:graphicData uri="http://schemas.microsoft.com/office/word/2010/wordprocessingShape">
                    <wps:wsp>
                      <wps:cNvSpPr/>
                      <wps:spPr>
                        <a:xfrm>
                          <a:off x="0" y="0"/>
                          <a:ext cx="6119640" cy="244440"/>
                        </a:xfrm>
                        <a:custGeom>
                          <a:avLst/>
                          <a:gdLst/>
                          <a:ahLst/>
                          <a:rect l="l" t="t" r="r" b="b"/>
                          <a:pathLst>
                            <a:path w="21600" h="21600">
                              <a:moveTo>
                                <a:pt x="0" y="0"/>
                              </a:moveTo>
                              <a:lnTo>
                                <a:pt x="21600" y="0"/>
                              </a:lnTo>
                              <a:lnTo>
                                <a:pt x="21600" y="21600"/>
                              </a:lnTo>
                              <a:lnTo>
                                <a:pt x="0" y="21600"/>
                              </a:lnTo>
                              <a:close/>
                            </a:path>
                          </a:pathLst>
                        </a:custGeom>
                        <a:solidFill>
                          <a:srgbClr val="f2f2f2"/>
                        </a:solidFill>
                        <a:ln w="6480">
                          <a:solidFill>
                            <a:srgbClr val="000000"/>
                          </a:solidFill>
                          <a:round/>
                        </a:ln>
                      </wps:spPr>
                      <wps:style>
                        <a:lnRef idx="0"/>
                        <a:fillRef idx="0"/>
                        <a:effectRef idx="0"/>
                        <a:fontRef idx="minor"/>
                      </wps:style>
                      <wps:txbx>
                        <w:txbxContent>
                          <w:p>
                            <w:pPr>
                              <w:spacing w:before="0" w:after="0" w:lineRule="auto" w:line="240"/>
                              <w:rPr/>
                            </w:pPr>
                            <w:r>
                              <w:rPr>
                                <w:sz w:val="20"/>
                                <w:szCs w:val="20"/>
                                <w:lang w:val="de-AT" w:eastAsia="de-AT"/>
                              </w:rPr>
                              <w:t>(Boasson and Visser, 2017, pp. 210–214)</w:t>
                            </w:r>
                          </w:p>
                        </w:txbxContent>
                      </wps:txbx>
                      <wps:bodyPr anchor="ctr">
                        <a:spAutoFit/>
                      </wps:bodyPr>
                    </wps:wsp>
                  </a:graphicData>
                </a:graphic>
              </wp:inline>
            </w:drawing>
          </mc:Choice>
          <mc:Fallback>
            <w:pict>
              <v:shape id="shape_0" ID="Rechteck 6" coordsize="21600,21600" path="m0,0l21600,0l21600,21600l0,21600xe" fillcolor="#f2f2f2" stroked="t" o:allowincell="f" style="position:absolute;margin-left:0pt;margin-top:-19.3pt;width:481.8pt;height:19.2pt;mso-wrap-style:square;v-text-anchor:middle;mso-position-vertical:top">
                <v:textbox>
                  <w:txbxContent>
                    <w:p>
                      <w:pPr>
                        <w:spacing w:before="0" w:after="0" w:lineRule="auto" w:line="240"/>
                        <w:rPr/>
                      </w:pPr>
                      <w:r>
                        <w:rPr>
                          <w:sz w:val="20"/>
                          <w:szCs w:val="20"/>
                          <w:lang w:val="de-AT" w:eastAsia="de-AT"/>
                        </w:rPr>
                        <w:t>(Boasson and Visser, 2017, pp. 210–214)</w:t>
                      </w:r>
                    </w:p>
                  </w:txbxContent>
                </v:textbox>
                <v:fill o:detectmouseclick="t" type="solid" color2="#0d0d0d"/>
                <v:stroke color="black" weight="6480" joinstyle="round" endcap="flat"/>
                <w10:wrap type="square"/>
              </v:shape>
            </w:pict>
          </mc:Fallback>
        </mc:AlternateContent>
      </w:r>
    </w:p>
    <w:p>
      <w:pPr>
        <w:pStyle w:val="CHNTText"/>
        <w:rPr/>
      </w:pPr>
      <w:r>
        <w:rPr/>
        <w:t xml:space="preserve">Author names can also be included in the text, with the year of the publication set in brackets: </w:t>
      </w:r>
    </w:p>
    <w:p>
      <w:pPr>
        <w:pStyle w:val="CHNTText"/>
        <w:rPr/>
      </w:pPr>
      <w:r>
        <w:rPr/>
        <mc:AlternateContent>
          <mc:Choice Requires="wps">
            <w:drawing>
              <wp:inline distT="0" distB="0" distL="0" distR="0">
                <wp:extent cx="6119495" cy="396875"/>
                <wp:effectExtent l="0" t="0" r="0" b="0"/>
                <wp:docPr id="5" name="Rechteck 5"/>
                <a:graphic xmlns:a="http://schemas.openxmlformats.org/drawingml/2006/main">
                  <a:graphicData uri="http://schemas.microsoft.com/office/word/2010/wordprocessingShape">
                    <wps:wsp>
                      <wps:cNvSpPr/>
                      <wps:spPr>
                        <a:xfrm>
                          <a:off x="0" y="0"/>
                          <a:ext cx="6119640" cy="396720"/>
                        </a:xfrm>
                        <a:custGeom>
                          <a:avLst/>
                          <a:gdLst/>
                          <a:ahLst/>
                          <a:rect l="l" t="t" r="r" b="b"/>
                          <a:pathLst>
                            <a:path w="21600" h="21600">
                              <a:moveTo>
                                <a:pt x="0" y="0"/>
                              </a:moveTo>
                              <a:lnTo>
                                <a:pt x="21600" y="0"/>
                              </a:lnTo>
                              <a:lnTo>
                                <a:pt x="21600" y="21600"/>
                              </a:lnTo>
                              <a:lnTo>
                                <a:pt x="0" y="21600"/>
                              </a:lnTo>
                              <a:close/>
                            </a:path>
                          </a:pathLst>
                        </a:custGeom>
                        <a:solidFill>
                          <a:srgbClr val="f2f2f2"/>
                        </a:solidFill>
                        <a:ln w="6480">
                          <a:solidFill>
                            <a:srgbClr val="000000"/>
                          </a:solidFill>
                          <a:round/>
                        </a:ln>
                      </wps:spPr>
                      <wps:style>
                        <a:lnRef idx="0"/>
                        <a:fillRef idx="0"/>
                        <a:effectRef idx="0"/>
                        <a:fontRef idx="minor"/>
                      </wps:style>
                      <wps:txbx>
                        <w:txbxContent>
                          <w:p>
                            <w:pPr>
                              <w:spacing w:before="0" w:after="0" w:lineRule="auto" w:line="240"/>
                              <w:rPr/>
                            </w:pPr>
                            <w:r>
                              <w:rPr>
                                <w:sz w:val="20"/>
                                <w:szCs w:val="20"/>
                                <w:lang w:val="de-AT" w:eastAsia="de-AT"/>
                              </w:rPr>
                              <w:t>The citation of the paper by Boasson and Visser (2017) provides a template for citing a Studies in Digital Heritage publication.</w:t>
                            </w:r>
                          </w:p>
                        </w:txbxContent>
                      </wps:txbx>
                      <wps:bodyPr anchor="ctr">
                        <a:spAutoFit/>
                      </wps:bodyPr>
                    </wps:wsp>
                  </a:graphicData>
                </a:graphic>
              </wp:inline>
            </w:drawing>
          </mc:Choice>
          <mc:Fallback>
            <w:pict>
              <v:shape id="shape_0" ID="Rechteck 5" coordsize="21600,21600" path="m0,0l21600,0l21600,21600l0,21600xe" fillcolor="#f2f2f2" stroked="t" o:allowincell="f" style="position:absolute;margin-left:0pt;margin-top:-31.3pt;width:481.8pt;height:31.2pt;mso-wrap-style:square;v-text-anchor:middle;mso-position-vertical:top">
                <v:textbox>
                  <w:txbxContent>
                    <w:p>
                      <w:pPr>
                        <w:spacing w:before="0" w:after="0" w:lineRule="auto" w:line="240"/>
                        <w:rPr/>
                      </w:pPr>
                      <w:r>
                        <w:rPr>
                          <w:sz w:val="20"/>
                          <w:szCs w:val="20"/>
                          <w:lang w:val="de-AT" w:eastAsia="de-AT"/>
                        </w:rPr>
                        <w:t>The citation of the paper by Boasson and Visser (2017) provides a template for citing a Studies in Digital Heritage publication.</w:t>
                      </w:r>
                    </w:p>
                  </w:txbxContent>
                </v:textbox>
                <v:fill o:detectmouseclick="t" type="solid" color2="#0d0d0d"/>
                <v:stroke color="black" weight="6480" joinstyle="round" endcap="flat"/>
                <w10:wrap type="square"/>
              </v:shape>
            </w:pict>
          </mc:Fallback>
        </mc:AlternateContent>
      </w:r>
    </w:p>
    <w:p>
      <w:pPr>
        <w:pStyle w:val="CHNTHeading1"/>
        <w:rPr/>
      </w:pPr>
      <w:r>
        <w:rPr/>
        <w:t>References section</w:t>
      </w:r>
    </w:p>
    <w:p>
      <w:pPr>
        <w:pStyle w:val="CHNTText"/>
        <w:keepNext w:val="true"/>
        <w:rPr/>
      </w:pPr>
      <w:r>
        <w:rPr/>
        <w:t>Please adhere to the Harvard-Manchester style, as mentioned above. Please make sure, URLs and URIs are provided as interactive hyperlink as seen in the examples in the References section below. Please enter the references in the according section below the text.</w:t>
      </w:r>
    </w:p>
    <w:p>
      <w:pPr>
        <w:pStyle w:val="CHNTText"/>
        <w:rPr/>
      </w:pPr>
      <w:hyperlink r:id="rId4" w:tgtFrame="_top">
        <w:r>
          <w:rPr/>
          <mc:AlternateContent>
            <mc:Choice Requires="wps">
              <w:drawing>
                <wp:inline distT="0" distB="0" distL="0" distR="0">
                  <wp:extent cx="6119495" cy="2075815"/>
                  <wp:effectExtent l="0" t="0" r="0" b="0"/>
                  <wp:docPr id="6" name="Rechteck 7"/>
                  <a:graphic xmlns:a="http://schemas.openxmlformats.org/drawingml/2006/main">
                    <a:graphicData uri="http://schemas.microsoft.com/office/word/2010/wordprocessingShape">
                      <wps:wsp>
                        <wps:cNvSpPr/>
                        <wps:spPr>
                          <a:xfrm>
                            <a:off x="0" y="0"/>
                            <a:ext cx="6119640" cy="2075760"/>
                          </a:xfrm>
                          <a:custGeom>
                            <a:avLst/>
                            <a:gdLst/>
                            <a:ahLst/>
                            <a:rect l="l" t="t" r="r" b="b"/>
                            <a:pathLst>
                              <a:path w="21600" h="21600">
                                <a:moveTo>
                                  <a:pt x="0" y="0"/>
                                </a:moveTo>
                                <a:lnTo>
                                  <a:pt x="21600" y="0"/>
                                </a:lnTo>
                                <a:lnTo>
                                  <a:pt x="21600" y="21600"/>
                                </a:lnTo>
                                <a:lnTo>
                                  <a:pt x="0" y="21600"/>
                                </a:lnTo>
                                <a:close/>
                              </a:path>
                            </a:pathLst>
                          </a:custGeom>
                          <a:solidFill>
                            <a:srgbClr val="f2f2f2"/>
                          </a:solidFill>
                          <a:ln w="6480">
                            <a:solidFill>
                              <a:srgbClr val="000000"/>
                            </a:solidFill>
                            <a:round/>
                          </a:ln>
                        </wps:spPr>
                        <wps:style>
                          <a:lnRef idx="0"/>
                          <a:fillRef idx="0"/>
                          <a:effectRef idx="0"/>
                          <a:fontRef idx="minor"/>
                        </wps:style>
                        <wps:txbx>
                          <w:txbxContent>
                            <w:p>
                              <w:pPr>
                                <w:spacing w:before="0" w:after="0" w:lineRule="auto" w:line="240"/>
                                <w:rPr/>
                              </w:pPr>
                              <w:r>
                                <w:rPr>
                                  <w:sz w:val="20"/>
                                  <w:szCs w:val="20"/>
                                  <w:lang w:val="de-AT" w:eastAsia="de-AT"/>
                                </w:rPr>
                                <w:t xml:space="preserve">Boasson, W. and Visser, R. M. (2017). ‘SIKB0102: Synchronising Excavation Data for Preservation and Reuse’, </w:t>
                              </w:r>
                              <w:r>
                                <w:rPr>
                                  <w:sz w:val="20"/>
                                  <w:szCs w:val="20"/>
                                  <w:i/>
                                  <w:lang w:val="de-AT" w:eastAsia="de-AT"/>
                                </w:rPr>
                                <w:t>Studies in Digital Heritage</w:t>
                              </w:r>
                              <w:r>
                                <w:rPr>
                                  <w:sz w:val="20"/>
                                  <w:szCs w:val="20"/>
                                  <w:lang w:val="de-AT" w:eastAsia="de-AT"/>
                                </w:rPr>
                                <w:t xml:space="preserve">, 1(2), pp. 206–224. DOI: </w:t>
                              </w:r>
                              <w:r>
                                <w:rPr>
                                  <w:sz w:val="20"/>
                                  <w:szCs w:val="20"/>
                                  <w:lang w:val="de-AT" w:eastAsia="de-AT"/>
                                </w:rPr>
                                <w:t>10.14434/sdh.v1i2.23262</w:t>
                              </w:r>
                              <w:r>
                                <w:rPr>
                                  <w:sz w:val="20"/>
                                  <w:szCs w:val="20"/>
                                  <w:lang w:val="de-AT" w:eastAsia="de-AT"/>
                                </w:rPr>
                                <w:t xml:space="preserve"> </w:t>
                              </w:r>
                            </w:p>
                            <w:p>
                              <w:pPr>
                                <w:spacing w:before="0" w:after="0" w:lineRule="auto" w:line="240"/>
                                <w:jc w:val="start"/>
                                <w:rPr/>
                              </w:pPr>
                              <w:r>
                                <w:rPr>
                                  <w:sz w:val="20"/>
                                  <w:szCs w:val="20"/>
                                  <w:lang w:eastAsia="de-AT" w:val="en-US"/>
                                </w:rPr>
                                <w:t xml:space="preserve">Herrmann, J. T., Glissmann, B., Sconzo, P. and Pfälzner, P. (2018). </w:t>
                              </w:r>
                              <w:r>
                                <w:rPr>
                                  <w:sz w:val="20"/>
                                  <w:szCs w:val="20"/>
                                  <w:lang w:val="de-AT" w:eastAsia="de-AT"/>
                                </w:rPr>
                                <w:t xml:space="preserve">‘Unmanned Aerial Vehicle (UAV) Survey with Commercial-Grade Instruments: A Case Study from the Eastern Ḫabur Archaeological Survey, Iraq.’ </w:t>
                              </w:r>
                              <w:r>
                                <w:rPr>
                                  <w:sz w:val="20"/>
                                  <w:szCs w:val="20"/>
                                  <w:i/>
                                  <w:lang w:val="de-AT" w:eastAsia="de-AT"/>
                                </w:rPr>
                                <w:t>Journal of Field Archaeology</w:t>
                              </w:r>
                              <w:r>
                                <w:rPr>
                                  <w:sz w:val="20"/>
                                  <w:szCs w:val="20"/>
                                  <w:lang w:val="de-AT" w:eastAsia="de-AT"/>
                                </w:rPr>
                                <w:t>, 43(4) pp. 269–283.</w:t>
                              </w:r>
                            </w:p>
                            <w:p>
                              <w:pPr>
                                <w:spacing w:before="0" w:after="0" w:lineRule="auto" w:line="240"/>
                                <w:rPr/>
                              </w:pPr>
                              <w:r>
                                <w:rPr>
                                  <w:sz w:val="20"/>
                                  <w:szCs w:val="20"/>
                                  <w:lang w:val="de-AT" w:eastAsia="de-AT"/>
                                </w:rPr>
                                <w:t xml:space="preserve">Polig, M. (2016). The original Holy Cross Church in Dalby. New interpretations through digital archaeology, </w:t>
                              </w:r>
                              <w:r>
                                <w:rPr>
                                  <w:sz w:val="20"/>
                                  <w:szCs w:val="20"/>
                                  <w:i/>
                                  <w:lang w:val="de-AT" w:eastAsia="de-AT"/>
                                </w:rPr>
                                <w:t>Proceedings of the 20th International Conference on Cultural Heritage and New Technologies 2015</w:t>
                              </w:r>
                              <w:r>
                                <w:rPr>
                                  <w:sz w:val="20"/>
                                  <w:szCs w:val="20"/>
                                  <w:lang w:val="de-AT" w:eastAsia="de-AT"/>
                                </w:rPr>
                                <w:t>, Vienna, 17 pages. Available at https://www.chnt.at/wp-content/uploads/eBook_CHNT20_Polig_2015.pdf (Accessed: 13 January 2019).</w:t>
                              </w:r>
                            </w:p>
                            <w:p>
                              <w:pPr>
                                <w:spacing w:before="0" w:after="0" w:lineRule="auto" w:line="240"/>
                                <w:rPr/>
                              </w:pPr>
                              <w:r>
                                <w:rPr>
                                  <w:sz w:val="20"/>
                                  <w:szCs w:val="20"/>
                                  <w:lang w:val="de-AT" w:eastAsia="de-AT"/>
                                </w:rPr>
                                <w:t xml:space="preserve">Remondino, F. and Campana, S. (eds.) (2014) </w:t>
                              </w:r>
                              <w:r>
                                <w:rPr>
                                  <w:sz w:val="20"/>
                                  <w:szCs w:val="20"/>
                                  <w:i/>
                                  <w:lang w:val="de-AT" w:eastAsia="de-AT"/>
                                </w:rPr>
                                <w:t>3D Recording and modelling in Archaeology and Cultural Heritage. Theory and best practices.</w:t>
                              </w:r>
                              <w:r>
                                <w:rPr>
                                  <w:sz w:val="20"/>
                                  <w:szCs w:val="20"/>
                                  <w:lang w:val="de-AT" w:eastAsia="de-AT"/>
                                </w:rPr>
                                <w:t xml:space="preserve"> Oxford: Archaeopress (BAR international series, 2598).</w:t>
                              </w:r>
                            </w:p>
                            <w:p>
                              <w:pPr>
                                <w:spacing w:before="0" w:after="0" w:lineRule="auto" w:line="240"/>
                                <w:rPr/>
                              </w:pPr>
                              <w:r>
                                <w:rPr>
                                  <w:sz w:val="20"/>
                                  <w:szCs w:val="20"/>
                                  <w:lang w:val="de-AT" w:eastAsia="de-AT"/>
                                </w:rPr>
                                <w:t xml:space="preserve">Zubrow, E. B. W. (2006) ‘Digital Archaeology. A Historical Context.’, in Evans, T. L. and Daly, P. T. (eds.) </w:t>
                              </w:r>
                              <w:r>
                                <w:rPr>
                                  <w:sz w:val="20"/>
                                  <w:szCs w:val="20"/>
                                  <w:i/>
                                  <w:lang w:val="de-AT" w:eastAsia="de-AT"/>
                                </w:rPr>
                                <w:t>Digital archaeology: bridging method and theory</w:t>
                              </w:r>
                              <w:r>
                                <w:rPr>
                                  <w:sz w:val="20"/>
                                  <w:szCs w:val="20"/>
                                  <w:lang w:val="de-AT" w:eastAsia="de-AT"/>
                                </w:rPr>
                                <w:t>. London; New York: Routledge, pp. 9–26.</w:t>
                              </w:r>
                            </w:p>
                          </w:txbxContent>
                        </wps:txbx>
                        <wps:bodyPr anchor="ctr">
                          <a:spAutoFit/>
                        </wps:bodyPr>
                      </wps:wsp>
                    </a:graphicData>
                  </a:graphic>
                </wp:inline>
              </w:drawing>
            </mc:Choice>
            <mc:Fallback>
              <w:pict>
                <v:shape id="shape_0" ID="Rechteck 7" coordsize="21600,21600" path="m0,0l21600,0l21600,21600l0,21600xe" fillcolor="#f2f2f2" stroked="t" o:allowincell="f" style="position:absolute;margin-left:0pt;margin-top:-163.5pt;width:481.8pt;height:163.4pt;mso-wrap-style:square;v-text-anchor:middle;mso-position-vertical:top">
                  <v:textbox>
                    <w:txbxContent>
                      <w:p>
                        <w:pPr>
                          <w:spacing w:before="0" w:after="0" w:lineRule="auto" w:line="240"/>
                          <w:rPr/>
                        </w:pPr>
                        <w:r>
                          <w:rPr>
                            <w:sz w:val="20"/>
                            <w:szCs w:val="20"/>
                            <w:lang w:val="de-AT" w:eastAsia="de-AT"/>
                          </w:rPr>
                          <w:t xml:space="preserve">Boasson, W. and Visser, R. M. (2017). ‘SIKB0102: Synchronising Excavation Data for Preservation and Reuse’, </w:t>
                        </w:r>
                        <w:r>
                          <w:rPr>
                            <w:sz w:val="20"/>
                            <w:szCs w:val="20"/>
                            <w:i/>
                            <w:lang w:val="de-AT" w:eastAsia="de-AT"/>
                          </w:rPr>
                          <w:t>Studies in Digital Heritage</w:t>
                        </w:r>
                        <w:r>
                          <w:rPr>
                            <w:sz w:val="20"/>
                            <w:szCs w:val="20"/>
                            <w:lang w:val="de-AT" w:eastAsia="de-AT"/>
                          </w:rPr>
                          <w:t xml:space="preserve">, 1(2), pp. 206–224. DOI: </w:t>
                        </w:r>
                        <w:r>
                          <w:rPr>
                            <w:sz w:val="20"/>
                            <w:szCs w:val="20"/>
                            <w:lang w:val="de-AT" w:eastAsia="de-AT"/>
                          </w:rPr>
                          <w:t>10.14434/sdh.v1i2.23262</w:t>
                        </w:r>
                        <w:r>
                          <w:rPr>
                            <w:sz w:val="20"/>
                            <w:szCs w:val="20"/>
                            <w:lang w:val="de-AT" w:eastAsia="de-AT"/>
                          </w:rPr>
                          <w:t xml:space="preserve"> </w:t>
                        </w:r>
                      </w:p>
                      <w:p>
                        <w:pPr>
                          <w:spacing w:before="0" w:after="0" w:lineRule="auto" w:line="240"/>
                          <w:jc w:val="start"/>
                          <w:rPr/>
                        </w:pPr>
                        <w:r>
                          <w:rPr>
                            <w:sz w:val="20"/>
                            <w:szCs w:val="20"/>
                            <w:lang w:eastAsia="de-AT" w:val="en-US"/>
                          </w:rPr>
                          <w:t xml:space="preserve">Herrmann, J. T., Glissmann, B., Sconzo, P. and Pfälzner, P. (2018). </w:t>
                        </w:r>
                        <w:r>
                          <w:rPr>
                            <w:sz w:val="20"/>
                            <w:szCs w:val="20"/>
                            <w:lang w:val="de-AT" w:eastAsia="de-AT"/>
                          </w:rPr>
                          <w:t xml:space="preserve">‘Unmanned Aerial Vehicle (UAV) Survey with Commercial-Grade Instruments: A Case Study from the Eastern Ḫabur Archaeological Survey, Iraq.’ </w:t>
                        </w:r>
                        <w:r>
                          <w:rPr>
                            <w:sz w:val="20"/>
                            <w:szCs w:val="20"/>
                            <w:i/>
                            <w:lang w:val="de-AT" w:eastAsia="de-AT"/>
                          </w:rPr>
                          <w:t>Journal of Field Archaeology</w:t>
                        </w:r>
                        <w:r>
                          <w:rPr>
                            <w:sz w:val="20"/>
                            <w:szCs w:val="20"/>
                            <w:lang w:val="de-AT" w:eastAsia="de-AT"/>
                          </w:rPr>
                          <w:t>, 43(4) pp. 269–283.</w:t>
                        </w:r>
                      </w:p>
                      <w:p>
                        <w:pPr>
                          <w:spacing w:before="0" w:after="0" w:lineRule="auto" w:line="240"/>
                          <w:rPr/>
                        </w:pPr>
                        <w:r>
                          <w:rPr>
                            <w:sz w:val="20"/>
                            <w:szCs w:val="20"/>
                            <w:lang w:val="de-AT" w:eastAsia="de-AT"/>
                          </w:rPr>
                          <w:t xml:space="preserve">Polig, M. (2016). The original Holy Cross Church in Dalby. New interpretations through digital archaeology, </w:t>
                        </w:r>
                        <w:r>
                          <w:rPr>
                            <w:sz w:val="20"/>
                            <w:szCs w:val="20"/>
                            <w:i/>
                            <w:lang w:val="de-AT" w:eastAsia="de-AT"/>
                          </w:rPr>
                          <w:t>Proceedings of the 20th International Conference on Cultural Heritage and New Technologies 2015</w:t>
                        </w:r>
                        <w:r>
                          <w:rPr>
                            <w:sz w:val="20"/>
                            <w:szCs w:val="20"/>
                            <w:lang w:val="de-AT" w:eastAsia="de-AT"/>
                          </w:rPr>
                          <w:t>, Vienna, 17 pages. Available at https://www.chnt.at/wp-content/uploads/eBook_CHNT20_Polig_2015.pdf (Accessed: 13 January 2019).</w:t>
                        </w:r>
                      </w:p>
                      <w:p>
                        <w:pPr>
                          <w:spacing w:before="0" w:after="0" w:lineRule="auto" w:line="240"/>
                          <w:rPr/>
                        </w:pPr>
                        <w:r>
                          <w:rPr>
                            <w:sz w:val="20"/>
                            <w:szCs w:val="20"/>
                            <w:lang w:val="de-AT" w:eastAsia="de-AT"/>
                          </w:rPr>
                          <w:t xml:space="preserve">Remondino, F. and Campana, S. (eds.) (2014) </w:t>
                        </w:r>
                        <w:r>
                          <w:rPr>
                            <w:sz w:val="20"/>
                            <w:szCs w:val="20"/>
                            <w:i/>
                            <w:lang w:val="de-AT" w:eastAsia="de-AT"/>
                          </w:rPr>
                          <w:t>3D Recording and modelling in Archaeology and Cultural Heritage. Theory and best practices.</w:t>
                        </w:r>
                        <w:r>
                          <w:rPr>
                            <w:sz w:val="20"/>
                            <w:szCs w:val="20"/>
                            <w:lang w:val="de-AT" w:eastAsia="de-AT"/>
                          </w:rPr>
                          <w:t xml:space="preserve"> Oxford: Archaeopress (BAR international series, 2598).</w:t>
                        </w:r>
                      </w:p>
                      <w:p>
                        <w:pPr>
                          <w:spacing w:before="0" w:after="0" w:lineRule="auto" w:line="240"/>
                          <w:rPr/>
                        </w:pPr>
                        <w:r>
                          <w:rPr>
                            <w:sz w:val="20"/>
                            <w:szCs w:val="20"/>
                            <w:lang w:val="de-AT" w:eastAsia="de-AT"/>
                          </w:rPr>
                          <w:t xml:space="preserve">Zubrow, E. B. W. (2006) ‘Digital Archaeology. A Historical Context.’, in Evans, T. L. and Daly, P. T. (eds.) </w:t>
                        </w:r>
                        <w:r>
                          <w:rPr>
                            <w:sz w:val="20"/>
                            <w:szCs w:val="20"/>
                            <w:i/>
                            <w:lang w:val="de-AT" w:eastAsia="de-AT"/>
                          </w:rPr>
                          <w:t>Digital archaeology: bridging method and theory</w:t>
                        </w:r>
                        <w:r>
                          <w:rPr>
                            <w:sz w:val="20"/>
                            <w:szCs w:val="20"/>
                            <w:lang w:val="de-AT" w:eastAsia="de-AT"/>
                          </w:rPr>
                          <w:t>. London; New York: Routledge, pp. 9–26.</w:t>
                        </w:r>
                      </w:p>
                    </w:txbxContent>
                  </v:textbox>
                  <v:fill o:detectmouseclick="t" type="solid" color2="#0d0d0d"/>
                  <v:stroke color="black" weight="6480" joinstyle="round" endcap="flat"/>
                  <w10:wrap type="square"/>
                </v:shape>
              </w:pict>
            </mc:Fallback>
          </mc:AlternateContent>
        </w:r>
      </w:hyperlink>
    </w:p>
    <w:p>
      <w:pPr>
        <w:pStyle w:val="CHNTHeading1"/>
        <w:rPr/>
      </w:pPr>
      <w:r>
        <w:rPr/>
        <w:t>Conflicts of Interest disclosure</w:t>
      </w:r>
    </w:p>
    <w:p>
      <w:pPr>
        <w:pStyle w:val="CHNTText"/>
        <w:rPr/>
      </w:pPr>
      <w:r>
        <w:rPr/>
        <w:t>Please use this section to declare any possible conflicts of interest, such as affiliations, personal or financial interests that might bias your research. If no such conflicts exist please state “The authors declare no conflict of interest.”</w:t>
      </w:r>
    </w:p>
    <w:p>
      <w:pPr>
        <w:pStyle w:val="CHNTHeading1"/>
        <w:rPr/>
      </w:pPr>
      <w:r>
        <w:rPr/>
        <w:t>Author Contributions section</w:t>
      </w:r>
    </w:p>
    <w:p>
      <w:pPr>
        <w:pStyle w:val="CHNTText"/>
        <w:rPr/>
      </w:pPr>
      <w:r>
        <w:rPr/>
        <w:t>Please use this section to list the contributions of the project participants, authors and non-authors alike, according to the CRediT system. See specific descriptions of the roles here: (</w:t>
      </w:r>
      <w:hyperlink r:id="rId5" w:tgtFrame="_top">
        <w:r>
          <w:rPr>
            <w:rStyle w:val="Hyperlink"/>
          </w:rPr>
          <w:t>http://credit.niso.org/</w:t>
        </w:r>
      </w:hyperlink>
      <w:r>
        <w:rPr/>
        <w:t>). Please omit non-applicable roles.</w:t>
      </w:r>
    </w:p>
    <w:p>
      <w:pPr>
        <w:pStyle w:val="CHNTHeading1"/>
        <w:rPr/>
      </w:pPr>
      <w:r>
        <w:rPr/>
        <w:t>Licensing</w:t>
      </w:r>
    </w:p>
    <w:p>
      <w:pPr>
        <w:pStyle w:val="CHNTText"/>
        <w:rPr/>
      </w:pPr>
      <w:r>
        <w:rPr/>
        <w:t xml:space="preserve">By submitting your contribution, you agree that this contribution may be published n the CHNT proceedings under the terms of </w:t>
      </w:r>
      <w:r>
        <w:rPr/>
        <w:t>a</w:t>
      </w:r>
      <w:r>
        <w:rPr/>
        <w:t xml:space="preserve"> </w:t>
      </w:r>
      <w:r>
        <w:rPr>
          <w:i w:val="false"/>
          <w:iCs w:val="false"/>
        </w:rPr>
        <w:t>Creative Commons License</w:t>
      </w:r>
      <w:r>
        <w:rPr/>
        <w:t xml:space="preserve"> </w:t>
      </w:r>
      <w:r>
        <w:rPr/>
        <w:t>determined in a separate license agreement</w:t>
      </w:r>
      <w:r>
        <w:rPr/>
        <w:t xml:space="preserve"> in the CHNT proceedings. </w:t>
      </w:r>
    </w:p>
    <w:p>
      <w:pPr>
        <w:pStyle w:val="CHNTHeading1"/>
        <w:rPr/>
      </w:pPr>
      <w:r>
        <w:rPr/>
        <w:t>Review</w:t>
      </w:r>
    </w:p>
    <w:p>
      <w:pPr>
        <w:pStyle w:val="CHNTText"/>
        <w:rPr/>
      </w:pPr>
      <w:r>
        <w:rPr/>
        <w:t xml:space="preserve">All submissions will be reviewed after submission. </w:t>
      </w:r>
      <w:r>
        <w:rPr/>
        <w:t xml:space="preserve">Short papers undergo editorial review only, Long papers </w:t>
      </w:r>
      <w:r>
        <w:rPr/>
        <w:t>will be peer-reviewed by at least tow anonymous reviewers.</w:t>
      </w:r>
      <w:r>
        <w:rPr/>
        <w:t xml:space="preserve"> </w:t>
      </w:r>
      <w:r>
        <w:rPr/>
        <w:t>It is therefore possible that your submission is rejected, or you will be asked to make some changes before it is published.</w:t>
      </w:r>
    </w:p>
    <w:p>
      <w:pPr>
        <w:pStyle w:val="CHNTHeading1"/>
        <w:rPr/>
      </w:pPr>
      <w:r>
        <w:rPr/>
        <w:t xml:space="preserve">Submission </w:t>
      </w:r>
      <w:r>
        <w:rPr/>
        <w:t>Process</w:t>
      </w:r>
    </w:p>
    <w:p>
      <w:pPr>
        <w:pStyle w:val="CHNTText"/>
        <w:rPr/>
      </w:pPr>
      <w:r>
        <w:rPr/>
        <w:t xml:space="preserve">Please submit your contribution to our Conference Proceedings Publication system under the following link: </w:t>
      </w:r>
      <w:hyperlink r:id="rId7">
        <w:r>
          <w:rPr>
            <w:rStyle w:val="Hyperlink"/>
          </w:rPr>
          <w:t>https://ojs.chnt.at/index.php/proceedings/about/submissions</w:t>
        </w:r>
      </w:hyperlink>
    </w:p>
    <w:p>
      <w:pPr>
        <w:pStyle w:val="CHNTText"/>
        <w:rPr/>
      </w:pPr>
      <w:r>
        <w:rPr/>
        <w:t xml:space="preserve">Detailed instructions for the submission can be found here: </w:t>
      </w:r>
      <w:hyperlink r:id="rId8">
        <w:r>
          <w:rPr>
            <w:rStyle w:val="Hyperlink"/>
          </w:rPr>
          <w:t>How to make a submission</w:t>
        </w:r>
      </w:hyperlink>
      <w:r>
        <w:rPr/>
        <w:t>.</w:t>
      </w:r>
    </w:p>
    <w:p>
      <w:pPr>
        <w:pStyle w:val="CHNTText"/>
        <w:rPr/>
      </w:pPr>
      <w:r>
        <w:rPr/>
        <w:t>Thank you for carefully reading through these instructions. Please use the according sections and stylesheets on the next page to enter your text, references, figure, and table captions.</w:t>
      </w:r>
    </w:p>
    <w:p>
      <w:pPr>
        <w:pStyle w:val="CHNTText"/>
        <w:rPr/>
      </w:pPr>
      <w:r>
        <w:rPr/>
      </w:r>
    </w:p>
    <w:p>
      <w:pPr>
        <w:pStyle w:val="CHNTText"/>
        <w:rPr/>
      </w:pPr>
      <w:r>
        <w:rPr/>
        <w:t>Sincerely,</w:t>
      </w:r>
    </w:p>
    <w:p>
      <w:pPr>
        <w:pStyle w:val="CHNTText"/>
        <w:rPr/>
      </w:pPr>
      <w:r>
        <w:rPr/>
        <w:t>The CHNT Editorial Board</w:t>
      </w:r>
    </w:p>
    <w:p>
      <w:pPr>
        <w:pStyle w:val="CHNTText"/>
        <w:rPr/>
      </w:pPr>
      <w:r>
        <w:rPr/>
      </w:r>
    </w:p>
    <w:p>
      <w:pPr>
        <w:pStyle w:val="CHNTText"/>
        <w:rPr/>
      </w:pPr>
      <w:r>
        <w:rPr/>
        <w:t>Next Page: Template</w:t>
      </w:r>
    </w:p>
    <w:p>
      <w:pPr>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134" w:right="1134" w:gutter="0" w:header="624" w:top="1418" w:footer="284" w:bottom="1134"/>
          <w:pgNumType w:fmt="decimal"/>
          <w:formProt w:val="false"/>
          <w:textDirection w:val="lrTb"/>
          <w:docGrid w:type="default" w:linePitch="600" w:charSpace="36864"/>
        </w:sectPr>
        <w:pStyle w:val="CHNTText"/>
        <w:rPr/>
      </w:pPr>
      <w:r>
        <w:rPr/>
      </w:r>
      <w:r>
        <w:br w:type="page"/>
      </w:r>
    </w:p>
    <w:p>
      <w:pPr>
        <w:pStyle w:val="CHNTTitle"/>
        <w:rPr/>
      </w:pPr>
      <w:r>
        <w:rPr/>
        <w:t>Template: Title of your contribution&lt;Style CHNT_Title&gt;</w:t>
      </w:r>
    </w:p>
    <w:p>
      <w:pPr>
        <w:pStyle w:val="CHNTTitleSubtitle"/>
        <w:rPr/>
      </w:pPr>
      <w:r>
        <w:rPr/>
        <w:t>Subtitle of your contribution&lt;Style CHNT_Title_Subtitle&gt;</w:t>
      </w:r>
    </w:p>
    <w:p>
      <w:pPr>
        <w:pStyle w:val="CHNTHeading1"/>
        <w:rPr/>
      </w:pPr>
      <w:r>
        <w:rPr/>
        <w:t>First Heading&lt;CHNT_Heading 1&gt;</w:t>
      </w:r>
    </w:p>
    <w:p>
      <w:pPr>
        <w:pStyle w:val="CHNTText"/>
        <w:rPr/>
      </w:pPr>
      <w:r>
        <w:rPr/>
        <w:t>Please enter the text of your paper here. You can use two levels of headings from the stylesheet catalogue. Please do not include any figures and tables in the text, but include them as separate files, as outlined above. Use the fields below to enter captions and &lt;CHNT_Text&gt;</w:t>
      </w:r>
    </w:p>
    <w:p>
      <w:pPr>
        <w:pStyle w:val="CHNTHeading2"/>
        <w:rPr/>
      </w:pPr>
      <w:r>
        <w:rPr/>
        <w:t>Second order Heading&lt;CHNT_Heading 2&gt;</w:t>
      </w:r>
    </w:p>
    <w:p>
      <w:pPr>
        <w:pStyle w:val="CHNTText"/>
        <w:rPr/>
      </w:pPr>
      <w:r>
        <w:rPr/>
        <w:t>Enter more text here.</w:t>
      </w:r>
    </w:p>
    <w:p>
      <w:pPr>
        <w:pStyle w:val="CHNTHeading1"/>
        <w:rPr/>
      </w:pPr>
      <w:r>
        <w:rPr/>
        <w:t>Author Contributions</w:t>
      </w:r>
    </w:p>
    <w:p>
      <w:pPr>
        <w:pStyle w:val="CHNTText"/>
        <w:rPr/>
      </w:pPr>
      <w:r>
        <w:rPr/>
        <w:t>Please use this section to list the contributions of the project participants, authors and non-authors alike, according to the CRediT system. See specific descriptions of the role here: (</w:t>
      </w:r>
      <w:hyperlink r:id="rId15" w:tgtFrame="_top">
        <w:r>
          <w:rPr>
            <w:rStyle w:val="Hyperlink"/>
          </w:rPr>
          <w:t>http://credit.niso.org/</w:t>
        </w:r>
      </w:hyperlink>
      <w:r>
        <w:rPr/>
        <w:t>). Please omit non-applicable roles.</w:t>
      </w:r>
    </w:p>
    <w:p>
      <w:pPr>
        <w:pStyle w:val="CHNTText"/>
        <w:jc w:val="start"/>
        <w:rPr/>
      </w:pPr>
      <w:r>
        <w:rPr>
          <w:rStyle w:val="Absatz-Standardschriftart"/>
          <w:b/>
          <w:bCs/>
        </w:rPr>
        <w:t xml:space="preserve">Conceptualization: </w:t>
      </w:r>
      <w:r>
        <w:rPr/>
        <w:t>&lt;contributor names&gt;</w:t>
        <w:br/>
      </w:r>
      <w:r>
        <w:rPr>
          <w:rStyle w:val="Absatz-Standardschriftart"/>
          <w:b/>
          <w:bCs/>
        </w:rPr>
        <w:t xml:space="preserve">Data curation: </w:t>
      </w:r>
      <w:r>
        <w:rPr/>
        <w:t>&lt;contributor names&gt;</w:t>
        <w:br/>
      </w:r>
      <w:r>
        <w:rPr>
          <w:rStyle w:val="Absatz-Standardschriftart"/>
          <w:b/>
          <w:bCs/>
        </w:rPr>
        <w:t xml:space="preserve">Formal Analysis: </w:t>
      </w:r>
      <w:r>
        <w:rPr/>
        <w:t>&lt;contributor names&gt;</w:t>
        <w:br/>
      </w:r>
      <w:r>
        <w:rPr>
          <w:rStyle w:val="Absatz-Standardschriftart"/>
          <w:b/>
          <w:bCs/>
        </w:rPr>
        <w:t xml:space="preserve">Funding acquisition: </w:t>
      </w:r>
      <w:r>
        <w:rPr/>
        <w:t>&lt;contributor names&gt;</w:t>
        <w:br/>
      </w:r>
      <w:r>
        <w:rPr>
          <w:rStyle w:val="Absatz-Standardschriftart"/>
          <w:b/>
          <w:bCs/>
        </w:rPr>
        <w:t xml:space="preserve">Investigation: </w:t>
      </w:r>
      <w:r>
        <w:rPr/>
        <w:t>&lt;contributor names&gt;</w:t>
        <w:br/>
      </w:r>
      <w:r>
        <w:rPr>
          <w:rStyle w:val="Absatz-Standardschriftart"/>
          <w:b/>
          <w:bCs/>
        </w:rPr>
        <w:t xml:space="preserve">Methodology: </w:t>
      </w:r>
      <w:r>
        <w:rPr/>
        <w:t>&lt;contributor names&gt;</w:t>
        <w:br/>
      </w:r>
      <w:r>
        <w:rPr>
          <w:rStyle w:val="Absatz-Standardschriftart"/>
          <w:b/>
          <w:bCs/>
        </w:rPr>
        <w:t xml:space="preserve">Project Administration: </w:t>
      </w:r>
      <w:r>
        <w:rPr/>
        <w:t>&lt;contributor names&gt;</w:t>
        <w:br/>
      </w:r>
      <w:r>
        <w:rPr>
          <w:rStyle w:val="Absatz-Standardschriftart"/>
          <w:b/>
          <w:bCs/>
        </w:rPr>
        <w:t xml:space="preserve">Resources: </w:t>
      </w:r>
      <w:r>
        <w:rPr/>
        <w:t>&lt;contributor names&gt;</w:t>
        <w:br/>
      </w:r>
      <w:r>
        <w:rPr>
          <w:rStyle w:val="Absatz-Standardschriftart"/>
          <w:b/>
          <w:bCs/>
        </w:rPr>
        <w:t xml:space="preserve">Software: </w:t>
      </w:r>
      <w:r>
        <w:rPr/>
        <w:t>&lt;contributor names&gt;</w:t>
        <w:br/>
      </w:r>
      <w:r>
        <w:rPr>
          <w:rStyle w:val="Absatz-Standardschriftart"/>
          <w:b/>
          <w:bCs/>
        </w:rPr>
        <w:t xml:space="preserve">Supervision: </w:t>
      </w:r>
      <w:r>
        <w:rPr/>
        <w:t>&lt;contributor names&gt;</w:t>
        <w:br/>
      </w:r>
      <w:r>
        <w:rPr>
          <w:rStyle w:val="Absatz-Standardschriftart"/>
          <w:b/>
          <w:bCs/>
        </w:rPr>
        <w:t>Validation:</w:t>
      </w:r>
      <w:r>
        <w:rPr/>
        <w:t xml:space="preserve"> &lt;contributor names&gt;</w:t>
        <w:br/>
      </w:r>
      <w:r>
        <w:rPr>
          <w:rStyle w:val="Absatz-Standardschriftart"/>
          <w:b/>
          <w:bCs/>
        </w:rPr>
        <w:t>Visualization:</w:t>
      </w:r>
      <w:r>
        <w:rPr/>
        <w:t xml:space="preserve"> &lt;contributor names&gt;</w:t>
        <w:br/>
      </w:r>
      <w:r>
        <w:rPr>
          <w:rStyle w:val="Absatz-Standardschriftart"/>
          <w:b/>
          <w:bCs/>
        </w:rPr>
        <w:t>Writing – original draft:</w:t>
      </w:r>
      <w:r>
        <w:rPr/>
        <w:t xml:space="preserve"> &lt;contributor names&gt;</w:t>
        <w:br/>
      </w:r>
      <w:r>
        <w:rPr>
          <w:rStyle w:val="Absatz-Standardschriftart"/>
          <w:b/>
          <w:bCs/>
        </w:rPr>
        <w:t>Writing – review &amp; editing:</w:t>
      </w:r>
      <w:r>
        <w:rPr/>
        <w:t xml:space="preserve"> &lt;contributor names&gt;</w:t>
      </w:r>
    </w:p>
    <w:p>
      <w:pPr>
        <w:pStyle w:val="CHNTHeading1"/>
        <w:rPr/>
      </w:pPr>
      <w:r>
        <w:rPr/>
        <w:t>Conflicts of Interest disclosure</w:t>
      </w:r>
    </w:p>
    <w:p>
      <w:pPr>
        <w:pStyle w:val="CHNTText"/>
        <w:rPr/>
      </w:pPr>
      <w:r>
        <w:rPr/>
        <w:t>Please use this section to declare any possible conflicts of interest, such as affiliations, personal or financial interests that might bias your research. If no such conflicts exist please state “The authors declare no conflict of interest.”</w:t>
      </w:r>
    </w:p>
    <w:p>
      <w:pPr>
        <w:pStyle w:val="CHNTHeading1"/>
        <w:rPr/>
      </w:pPr>
      <w:r>
        <w:rPr/>
        <w:t>References</w:t>
      </w:r>
    </w:p>
    <w:p>
      <w:pPr>
        <w:pStyle w:val="CHNTText"/>
        <w:rPr/>
      </w:pPr>
      <w:r>
        <w:rPr/>
        <w:t xml:space="preserve">Please enter the references in the </w:t>
      </w:r>
      <w:hyperlink r:id="rId16" w:tgtFrame="_top">
        <w:r>
          <w:rPr>
            <w:rStyle w:val="Hyperlink"/>
          </w:rPr>
          <w:t>Harvard-Manchester referncing style</w:t>
        </w:r>
      </w:hyperlink>
      <w:r>
        <w:rPr/>
        <w:t xml:space="preserve"> here. &lt;CHNT_References&gt;</w:t>
      </w:r>
    </w:p>
    <w:p>
      <w:pPr>
        <w:pStyle w:val="CHNTHeading1"/>
        <w:rPr/>
      </w:pPr>
      <w:r>
        <w:rPr/>
        <w:t>List of Figures</w:t>
      </w:r>
    </w:p>
    <w:p>
      <w:pPr>
        <w:pStyle w:val="CHNTText"/>
        <w:rPr/>
      </w:pPr>
      <w:r>
        <w:rPr/>
        <w:t xml:space="preserve">Please enter the caption of each Figure and the desired width in the table below. </w:t>
      </w:r>
    </w:p>
    <w:tbl>
      <w:tblPr>
        <w:tblW w:w="9628" w:type="dxa"/>
        <w:jc w:val="start"/>
        <w:tblInd w:w="-5" w:type="dxa"/>
        <w:tblLayout w:type="fixed"/>
        <w:tblCellMar>
          <w:top w:w="0" w:type="dxa"/>
          <w:start w:w="108" w:type="dxa"/>
          <w:bottom w:w="0" w:type="dxa"/>
          <w:end w:w="108" w:type="dxa"/>
        </w:tblCellMar>
      </w:tblPr>
      <w:tblGrid>
        <w:gridCol w:w="988"/>
        <w:gridCol w:w="6378"/>
        <w:gridCol w:w="2262"/>
      </w:tblGrid>
      <w:tr>
        <w:trPr/>
        <w:tc>
          <w:tcPr>
            <w:tcW w:w="988" w:type="dxa"/>
            <w:tcBorders>
              <w:top w:val="single" w:sz="4" w:space="0" w:color="000000"/>
              <w:start w:val="single" w:sz="4" w:space="0" w:color="000000"/>
              <w:bottom w:val="single" w:sz="4" w:space="0" w:color="000000"/>
              <w:end w:val="single" w:sz="4" w:space="0" w:color="000000"/>
            </w:tcBorders>
          </w:tcPr>
          <w:p>
            <w:pPr>
              <w:pStyle w:val="CHNTText"/>
              <w:spacing w:before="80" w:after="80"/>
              <w:rPr>
                <w:b/>
                <w:bCs/>
              </w:rPr>
            </w:pPr>
            <w:r>
              <w:rPr>
                <w:b/>
                <w:bCs/>
              </w:rPr>
              <w:t>No.</w:t>
            </w:r>
          </w:p>
        </w:tc>
        <w:tc>
          <w:tcPr>
            <w:tcW w:w="6378" w:type="dxa"/>
            <w:tcBorders>
              <w:top w:val="single" w:sz="4" w:space="0" w:color="000000"/>
              <w:start w:val="single" w:sz="4" w:space="0" w:color="000000"/>
              <w:bottom w:val="single" w:sz="4" w:space="0" w:color="000000"/>
              <w:end w:val="single" w:sz="4" w:space="0" w:color="000000"/>
            </w:tcBorders>
          </w:tcPr>
          <w:p>
            <w:pPr>
              <w:pStyle w:val="CHNTText"/>
              <w:spacing w:before="80" w:after="80"/>
              <w:rPr>
                <w:b/>
                <w:bCs/>
              </w:rPr>
            </w:pPr>
            <w:r>
              <w:rPr>
                <w:b/>
                <w:bCs/>
              </w:rPr>
              <w:t xml:space="preserve">Caption </w:t>
            </w:r>
          </w:p>
        </w:tc>
        <w:tc>
          <w:tcPr>
            <w:tcW w:w="2262" w:type="dxa"/>
            <w:tcBorders>
              <w:top w:val="single" w:sz="4" w:space="0" w:color="000000"/>
              <w:start w:val="single" w:sz="4" w:space="0" w:color="000000"/>
              <w:bottom w:val="single" w:sz="4" w:space="0" w:color="000000"/>
              <w:end w:val="single" w:sz="4" w:space="0" w:color="000000"/>
            </w:tcBorders>
          </w:tcPr>
          <w:p>
            <w:pPr>
              <w:pStyle w:val="CHNTText"/>
              <w:spacing w:before="80" w:after="80"/>
              <w:rPr>
                <w:b/>
                <w:bCs/>
              </w:rPr>
            </w:pPr>
            <w:r>
              <w:rPr>
                <w:b/>
                <w:bCs/>
              </w:rPr>
              <w:t>Width (8 or 17 cm)</w:t>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1</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2</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3</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Limit of figures for short papers is 3</w:t>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4</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5</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6</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7</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8</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9</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Fig. 10</w:t>
            </w:r>
          </w:p>
        </w:tc>
        <w:tc>
          <w:tcPr>
            <w:tcW w:w="637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c>
          <w:tcPr>
            <w:tcW w:w="2262"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bl>
    <w:p>
      <w:pPr>
        <w:pStyle w:val="CHNTHeading1"/>
        <w:rPr/>
      </w:pPr>
      <w:r>
        <w:rPr/>
        <w:t>List of Tables</w:t>
      </w:r>
    </w:p>
    <w:p>
      <w:pPr>
        <w:pStyle w:val="CHNTText"/>
        <w:rPr/>
      </w:pPr>
      <w:r>
        <w:rPr/>
        <w:t>Please enter all the numbers and captions of tables in the table below.</w:t>
      </w:r>
    </w:p>
    <w:tbl>
      <w:tblPr>
        <w:tblW w:w="9628" w:type="dxa"/>
        <w:jc w:val="start"/>
        <w:tblInd w:w="-5" w:type="dxa"/>
        <w:tblLayout w:type="fixed"/>
        <w:tblCellMar>
          <w:top w:w="0" w:type="dxa"/>
          <w:start w:w="108" w:type="dxa"/>
          <w:bottom w:w="0" w:type="dxa"/>
          <w:end w:w="108" w:type="dxa"/>
        </w:tblCellMar>
      </w:tblPr>
      <w:tblGrid>
        <w:gridCol w:w="988"/>
        <w:gridCol w:w="8640"/>
      </w:tblGrid>
      <w:tr>
        <w:trPr/>
        <w:tc>
          <w:tcPr>
            <w:tcW w:w="988" w:type="dxa"/>
            <w:tcBorders>
              <w:top w:val="single" w:sz="4" w:space="0" w:color="000000"/>
              <w:start w:val="single" w:sz="4" w:space="0" w:color="000000"/>
              <w:bottom w:val="single" w:sz="4" w:space="0" w:color="000000"/>
              <w:end w:val="single" w:sz="4" w:space="0" w:color="000000"/>
            </w:tcBorders>
          </w:tcPr>
          <w:p>
            <w:pPr>
              <w:pStyle w:val="CHNTText"/>
              <w:spacing w:before="80" w:after="80"/>
              <w:rPr>
                <w:b/>
                <w:bCs/>
              </w:rPr>
            </w:pPr>
            <w:r>
              <w:rPr>
                <w:b/>
                <w:bCs/>
              </w:rPr>
              <w:t>No.</w:t>
            </w:r>
          </w:p>
        </w:tc>
        <w:tc>
          <w:tcPr>
            <w:tcW w:w="8640" w:type="dxa"/>
            <w:tcBorders>
              <w:top w:val="single" w:sz="4" w:space="0" w:color="000000"/>
              <w:start w:val="single" w:sz="4" w:space="0" w:color="000000"/>
              <w:bottom w:val="single" w:sz="4" w:space="0" w:color="000000"/>
              <w:end w:val="single" w:sz="4" w:space="0" w:color="000000"/>
            </w:tcBorders>
          </w:tcPr>
          <w:p>
            <w:pPr>
              <w:pStyle w:val="CHNTText"/>
              <w:spacing w:before="80" w:after="80"/>
              <w:rPr>
                <w:b/>
                <w:bCs/>
              </w:rPr>
            </w:pPr>
            <w:r>
              <w:rPr>
                <w:b/>
                <w:bCs/>
              </w:rPr>
              <w:t>Caption</w:t>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Tab. 1</w:t>
            </w:r>
          </w:p>
        </w:tc>
        <w:tc>
          <w:tcPr>
            <w:tcW w:w="8640"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Tab. 2</w:t>
            </w:r>
          </w:p>
        </w:tc>
        <w:tc>
          <w:tcPr>
            <w:tcW w:w="8640"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r>
        <w:trPr/>
        <w:tc>
          <w:tcPr>
            <w:tcW w:w="988"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t>Tab. 3</w:t>
            </w:r>
          </w:p>
        </w:tc>
        <w:tc>
          <w:tcPr>
            <w:tcW w:w="8640" w:type="dxa"/>
            <w:tcBorders>
              <w:top w:val="single" w:sz="4" w:space="0" w:color="000000"/>
              <w:start w:val="single" w:sz="4" w:space="0" w:color="000000"/>
              <w:bottom w:val="single" w:sz="4" w:space="0" w:color="000000"/>
              <w:end w:val="single" w:sz="4" w:space="0" w:color="000000"/>
            </w:tcBorders>
          </w:tcPr>
          <w:p>
            <w:pPr>
              <w:pStyle w:val="CHNTText"/>
              <w:suppressAutoHyphens w:val="false"/>
              <w:spacing w:lineRule="auto" w:line="312" w:before="80" w:after="80"/>
              <w:jc w:val="both"/>
              <w:rPr/>
            </w:pPr>
            <w:r>
              <w:rPr/>
            </w:r>
          </w:p>
        </w:tc>
      </w:tr>
    </w:tbl>
    <w:p>
      <w:pPr>
        <w:pStyle w:val="CHNTText"/>
        <w:suppressAutoHyphens w:val="false"/>
        <w:spacing w:lineRule="auto" w:line="312" w:before="80" w:after="80"/>
        <w:jc w:val="both"/>
        <w:rPr/>
      </w:pPr>
      <w:r>
        <w:rPr/>
      </w:r>
    </w:p>
    <w:sectPr>
      <w:headerReference w:type="even" r:id="rId17"/>
      <w:headerReference w:type="default" r:id="rId18"/>
      <w:headerReference w:type="first" r:id="rId19"/>
      <w:footerReference w:type="even" r:id="rId20"/>
      <w:footerReference w:type="default" r:id="rId21"/>
      <w:footerReference w:type="first" r:id="rId22"/>
      <w:type w:val="nextPage"/>
      <w:pgSz w:w="11906" w:h="16838"/>
      <w:pgMar w:left="1134" w:right="1134" w:gutter="0" w:header="1418" w:top="1701" w:footer="1134" w:bottom="1417"/>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Arial">
    <w:charset w:val="01" w:characterSet="utf-8"/>
    <w:family w:val="swiss"/>
    <w:pitch w:val="variable"/>
  </w:font>
  <w:font w:name="Times New Roman">
    <w:charset w:val="01" w:characterSet="utf-8"/>
    <w:family w:val="roman"/>
    <w:pitch w:val="variable"/>
  </w:font>
  <w:font w:name="Tahoma">
    <w:charset w:val="01" w:characterSet="utf-8"/>
    <w:family w:val="swiss"/>
    <w:pitch w:val="variable"/>
  </w:font>
  <w:font w:name="Courier New">
    <w:charset w:val="01" w:characterSet="utf-8"/>
    <w:family w:val="modern"/>
    <w:pitch w:val="fixed"/>
  </w:font>
  <w:font w:name="Wingdings">
    <w:charset w:val="02"/>
    <w:family w:val="auto"/>
    <w:pitch w:val="variable"/>
  </w:font>
  <w:font w:name="OpenSymbol">
    <w:altName w:val="Arial Unicode MS"/>
    <w:charset w:val="02"/>
    <w:family w:val="auto"/>
    <w:pitch w:val="default"/>
  </w:font>
  <w:font w:name="Liberation Sans">
    <w:altName w:val="Arial"/>
    <w:charset w:val="01" w:characterSet="utf-8"/>
    <w:family w:val="swiss"/>
    <w:pitch w:val="variable"/>
  </w:font>
  <w:font w:name="Liberation Serif">
    <w:altName w:val="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fldChar w:fldCharType="begin"/>
    </w:r>
    <w:r>
      <w:rPr/>
      <w:instrText xml:space="preserve"> PAGE </w:instrText>
    </w:r>
    <w:r>
      <w:rPr/>
      <w:fldChar w:fldCharType="separate"/>
    </w:r>
    <w:r>
      <w:rPr/>
      <w:t>4</w:t>
    </w:r>
    <w:r>
      <w:rPr/>
      <w:fldChar w:fldCharType="end"/>
    </w:r>
    <w:r>
      <w:rPr/>
      <w:t xml:space="preserve"> </w:t>
    </w:r>
    <w:r>
      <w:rPr/>
      <w:t xml:space="preserve">/ </w:t>
    </w:r>
    <w:r>
      <w:rPr/>
      <w:fldChar w:fldCharType="begin"/>
    </w:r>
    <w:r>
      <w:rPr/>
      <w:instrText xml:space="preserve"> NUMPAGES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fldChar w:fldCharType="begin"/>
    </w:r>
    <w:r>
      <w:rPr/>
      <w:instrText xml:space="preserve"> PAGE </w:instrText>
    </w:r>
    <w:r>
      <w:rPr/>
      <w:fldChar w:fldCharType="separate"/>
    </w:r>
    <w:r>
      <w:rPr/>
      <w:t>4</w:t>
    </w:r>
    <w:r>
      <w:rPr/>
      <w:fldChar w:fldCharType="end"/>
    </w:r>
    <w:r>
      <w:rPr/>
      <w:t xml:space="preserve"> </w:t>
    </w:r>
    <w:r>
      <w:rPr/>
      <w:t xml:space="preserve">/ </w:t>
    </w:r>
    <w:r>
      <w:rPr/>
      <w:fldChar w:fldCharType="begin"/>
    </w:r>
    <w:r>
      <w:rPr/>
      <w:instrText xml:space="preserve"> NUMPAGES </w:instrText>
    </w:r>
    <w:r>
      <w:rPr/>
      <w:fldChar w:fldCharType="separate"/>
    </w:r>
    <w:r>
      <w:rPr/>
      <w:t>6</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spacing w:before="0" w:after="20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AutoHyphens w:val="false"/>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rFonts w:ascii="Arial" w:hAnsi="Arial" w:cs="Arial"/>
        <w:sz w:val="18"/>
        <w:szCs w:val="18"/>
      </w:rPr>
    </w:pPr>
    <w:r>
      <w:rPr>
        <w:rFonts w:cs="Arial" w:ascii="Arial" w:hAnsi="Arial"/>
        <w:sz w:val="18"/>
        <w:szCs w:val="1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rFonts w:ascii="Arial" w:hAnsi="Arial" w:cs="Arial"/>
        <w:sz w:val="18"/>
        <w:szCs w:val="18"/>
      </w:rPr>
    </w:pPr>
    <w:r>
      <w:rPr>
        <w:rFonts w:cs="Arial" w:ascii="Arial" w:hAnsi="Arial"/>
        <w:sz w:val="18"/>
        <w:szCs w:val="18"/>
      </w:rPr>
      <mc:AlternateContent>
        <mc:Choice Requires="wps">
          <w:drawing>
            <wp:anchor behindDoc="0" distT="0" distB="0" distL="0" distR="0" simplePos="0" locked="0" layoutInCell="1" allowOverlap="1" relativeHeight="9">
              <wp:simplePos x="0" y="0"/>
              <wp:positionH relativeFrom="column">
                <wp:posOffset>685800</wp:posOffset>
              </wp:positionH>
              <wp:positionV relativeFrom="paragraph">
                <wp:posOffset>271145</wp:posOffset>
              </wp:positionV>
              <wp:extent cx="634365" cy="634365"/>
              <wp:effectExtent l="3890645" t="22592665" r="0" b="0"/>
              <wp:wrapNone/>
              <wp:docPr id="7" name="Form 1"/>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4f81bd"/>
                      </a:solidFill>
                      <a:ln w="25560">
                        <a:solidFill>
                          <a:srgbClr val="1c334e"/>
                        </a:solidFill>
                        <a:round/>
                      </a:ln>
                    </wps:spPr>
                    <wps:style>
                      <a:lnRef idx="0"/>
                      <a:fillRef idx="0"/>
                      <a:effectRef idx="0"/>
                      <a:fontRef idx="minor"/>
                    </wps:style>
                    <wps:bodyPr/>
                  </wps:wsp>
                </a:graphicData>
              </a:graphic>
            </wp:anchor>
          </w:drawing>
        </mc:Choice>
        <mc:Fallback>
          <w:pict>
            <v:shape id="shape_0" ID="Form 1" fillcolor="#4f81bd" stroked="t" o:allowincell="f" style="position:absolute;margin-left:54pt;margin-top:21.35pt;width:49.9pt;height:49.9pt;mso-wrap-style:none;v-text-anchor:middle">
              <v:fill o:detectmouseclick="t" color2="#b07e42"/>
              <v:stroke color="#1c334e" weight="25560" joinstyle="round" endcap="flat"/>
              <w10:wrap type="none"/>
            </v:shape>
          </w:pict>
        </mc:Fallback>
      </mc:AlternateContent>
      <mc:AlternateContent>
        <mc:Choice Requires="wps">
          <w:drawing>
            <wp:anchor behindDoc="0" distT="0" distB="0" distL="0" distR="0" simplePos="0" locked="0" layoutInCell="1" allowOverlap="1" relativeHeight="11">
              <wp:simplePos x="0" y="0"/>
              <wp:positionH relativeFrom="column">
                <wp:posOffset>564515</wp:posOffset>
              </wp:positionH>
              <wp:positionV relativeFrom="paragraph">
                <wp:posOffset>219075</wp:posOffset>
              </wp:positionV>
              <wp:extent cx="634365" cy="634365"/>
              <wp:effectExtent l="3769360" t="22540595" r="0" b="0"/>
              <wp:wrapNone/>
              <wp:docPr id="8" name="Form 2"/>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4f81bd"/>
                      </a:solidFill>
                      <a:ln w="25560">
                        <a:solidFill>
                          <a:srgbClr val="1c334e"/>
                        </a:solidFill>
                        <a:round/>
                      </a:ln>
                    </wps:spPr>
                    <wps:style>
                      <a:lnRef idx="0"/>
                      <a:fillRef idx="0"/>
                      <a:effectRef idx="0"/>
                      <a:fontRef idx="minor"/>
                    </wps:style>
                    <wps:bodyPr/>
                  </wps:wsp>
                </a:graphicData>
              </a:graphic>
            </wp:anchor>
          </w:drawing>
        </mc:Choice>
        <mc:Fallback>
          <w:pict>
            <v:shape id="shape_0" ID="Form 2" fillcolor="#4f81bd" stroked="t" o:allowincell="f" style="position:absolute;margin-left:44.45pt;margin-top:17.25pt;width:49.9pt;height:49.9pt;mso-wrap-style:none;v-text-anchor:middle">
              <v:fill o:detectmouseclick="t" color2="#b07e42"/>
              <v:stroke color="#1c334e" weight="25560" joinstyle="round" endcap="flat"/>
              <w10:wrap type="none"/>
            </v:shap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rFonts w:ascii="Arial" w:hAnsi="Arial" w:cs="Arial"/>
        <w:sz w:val="18"/>
        <w:szCs w:val="18"/>
      </w:rPr>
    </w:pPr>
    <w:r>
      <w:rPr>
        <w:rFonts w:cs="Arial" w:ascii="Arial" w:hAnsi="Arial"/>
        <w:sz w:val="18"/>
        <w:szCs w:val="18"/>
      </w:rPr>
      <mc:AlternateContent>
        <mc:Choice Requires="wps">
          <w:drawing>
            <wp:anchor behindDoc="0" distT="0" distB="0" distL="0" distR="0" simplePos="0" locked="0" layoutInCell="1" allowOverlap="1" relativeHeight="9">
              <wp:simplePos x="0" y="0"/>
              <wp:positionH relativeFrom="column">
                <wp:posOffset>685800</wp:posOffset>
              </wp:positionH>
              <wp:positionV relativeFrom="paragraph">
                <wp:posOffset>271145</wp:posOffset>
              </wp:positionV>
              <wp:extent cx="634365" cy="634365"/>
              <wp:effectExtent l="3890645" t="22592665" r="0" b="0"/>
              <wp:wrapNone/>
              <wp:docPr id="9" name="Form 1"/>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4f81bd"/>
                      </a:solidFill>
                      <a:ln w="25560">
                        <a:solidFill>
                          <a:srgbClr val="1c334e"/>
                        </a:solidFill>
                        <a:round/>
                      </a:ln>
                    </wps:spPr>
                    <wps:style>
                      <a:lnRef idx="0"/>
                      <a:fillRef idx="0"/>
                      <a:effectRef idx="0"/>
                      <a:fontRef idx="minor"/>
                    </wps:style>
                    <wps:bodyPr/>
                  </wps:wsp>
                </a:graphicData>
              </a:graphic>
            </wp:anchor>
          </w:drawing>
        </mc:Choice>
        <mc:Fallback>
          <w:pict>
            <v:shape id="shape_0" ID="Form 1" fillcolor="#4f81bd" stroked="t" o:allowincell="f" style="position:absolute;margin-left:54pt;margin-top:21.35pt;width:49.9pt;height:49.9pt;mso-wrap-style:none;v-text-anchor:middle">
              <v:fill o:detectmouseclick="t" color2="#b07e42"/>
              <v:stroke color="#1c334e" weight="25560" joinstyle="round" endcap="flat"/>
              <w10:wrap type="none"/>
            </v:shape>
          </w:pict>
        </mc:Fallback>
      </mc:AlternateContent>
      <mc:AlternateContent>
        <mc:Choice Requires="wps">
          <w:drawing>
            <wp:anchor behindDoc="0" distT="0" distB="0" distL="0" distR="0" simplePos="0" locked="0" layoutInCell="1" allowOverlap="1" relativeHeight="11">
              <wp:simplePos x="0" y="0"/>
              <wp:positionH relativeFrom="column">
                <wp:posOffset>564515</wp:posOffset>
              </wp:positionH>
              <wp:positionV relativeFrom="paragraph">
                <wp:posOffset>219075</wp:posOffset>
              </wp:positionV>
              <wp:extent cx="634365" cy="634365"/>
              <wp:effectExtent l="3769360" t="22540595" r="0" b="0"/>
              <wp:wrapNone/>
              <wp:docPr id="10" name="Form 2"/>
              <a:graphic xmlns:a="http://schemas.openxmlformats.org/drawingml/2006/main">
                <a:graphicData uri="http://schemas.microsoft.com/office/word/2010/wordprocessingShape">
                  <wps:wsp>
                    <wps:cNvSpPr/>
                    <wps:spPr>
                      <a:xfrm>
                        <a:off x="0" y="0"/>
                        <a:ext cx="634320" cy="634320"/>
                      </a:xfrm>
                      <a:custGeom>
                        <a:avLst/>
                        <a:gdLst/>
                        <a:ahLst/>
                        <a:rect l="0" t="0" r="r" b="b"/>
                        <a:pathLst/>
                      </a:custGeom>
                      <a:solidFill>
                        <a:srgbClr val="4f81bd"/>
                      </a:solidFill>
                      <a:ln w="25560">
                        <a:solidFill>
                          <a:srgbClr val="1c334e"/>
                        </a:solidFill>
                        <a:round/>
                      </a:ln>
                    </wps:spPr>
                    <wps:style>
                      <a:lnRef idx="0"/>
                      <a:fillRef idx="0"/>
                      <a:effectRef idx="0"/>
                      <a:fontRef idx="minor"/>
                    </wps:style>
                    <wps:bodyPr/>
                  </wps:wsp>
                </a:graphicData>
              </a:graphic>
            </wp:anchor>
          </w:drawing>
        </mc:Choice>
        <mc:Fallback>
          <w:pict>
            <v:shape id="shape_0" ID="Form 2" fillcolor="#4f81bd" stroked="t" o:allowincell="f" style="position:absolute;margin-left:44.45pt;margin-top:17.25pt;width:49.9pt;height:49.9pt;mso-wrap-style:none;v-text-anchor:middle">
              <v:fill o:detectmouseclick="t" color2="#b07e42"/>
              <v:stroke color="#1c334e" weight="25560" joinstyle="round" endcap="flat"/>
              <w10:wrap type="none"/>
            </v:shape>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rFonts w:ascii="Arial" w:hAnsi="Arial" w:cs="Arial"/>
        <w:sz w:val="18"/>
        <w:szCs w:val="18"/>
      </w:rPr>
    </w:pPr>
    <w:r>
      <w:rPr>
        <w:rFonts w:cs="Arial" w:ascii="Arial" w:hAnsi="Arial"/>
        <w:sz w:val="18"/>
        <w:szCs w:val="18"/>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rFonts w:ascii="Arial" w:hAnsi="Arial" w:cs="Arial"/>
        <w:sz w:val="18"/>
        <w:szCs w:val="18"/>
      </w:rPr>
    </w:pPr>
    <w:r>
      <w:rPr>
        <w:rFonts w:cs="Arial" w:ascii="Arial" w:hAnsi="Arial"/>
        <w:sz w:val="18"/>
        <w:szCs w:val="18"/>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10"/>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AT" w:eastAsia="de-AT"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76" w:before="0" w:after="200"/>
      <w:jc w:val="star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s-ES" w:eastAsia="en-US" w:bidi="ar-SA"/>
    </w:rPr>
  </w:style>
  <w:style w:type="paragraph" w:styleId="Heading1">
    <w:name w:val="Heading 1"/>
    <w:basedOn w:val="Normal"/>
    <w:next w:val="Normal"/>
    <w:qFormat/>
    <w:pPr>
      <w:keepNext w:val="true"/>
      <w:numPr>
        <w:ilvl w:val="0"/>
        <w:numId w:val="1"/>
      </w:numPr>
      <w:suppressAutoHyphens w:val="false"/>
      <w:spacing w:lineRule="auto" w:line="360"/>
      <w:outlineLvl w:val="0"/>
    </w:pPr>
    <w:rPr>
      <w:rFonts w:ascii="Arial" w:hAnsi="Arial" w:cs="Arial"/>
      <w:i/>
      <w:iCs/>
      <w:sz w:val="18"/>
      <w:lang w:val="it-IT"/>
    </w:rPr>
  </w:style>
  <w:style w:type="paragraph" w:styleId="Heading2">
    <w:name w:val="Heading 2"/>
    <w:basedOn w:val="Normal"/>
    <w:next w:val="Normal"/>
    <w:qFormat/>
    <w:pPr>
      <w:keepNext w:val="true"/>
      <w:numPr>
        <w:ilvl w:val="1"/>
        <w:numId w:val="1"/>
      </w:numPr>
      <w:suppressAutoHyphens w:val="fals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suppressAutoHyphens w:val="false"/>
      <w:spacing w:lineRule="auto" w:line="360" w:before="0" w:after="0"/>
      <w:outlineLvl w:val="2"/>
    </w:pPr>
    <w:rPr>
      <w:rFonts w:ascii="Arial" w:hAnsi="Arial" w:eastAsia="Times New Roman" w:cs="Arial"/>
      <w:b/>
      <w:bCs/>
      <w:szCs w:val="24"/>
      <w:lang w:val="en-GB" w:eastAsia="de-DE"/>
    </w:rPr>
  </w:style>
  <w:style w:type="character" w:styleId="Absatz-Standardschriftart">
    <w:name w:val="Absatz-Standardschriftart"/>
    <w:qFormat/>
    <w:rPr/>
  </w:style>
  <w:style w:type="character" w:styleId="Kommentarzeichen">
    <w:name w:val="Kommentarzeichen"/>
    <w:qFormat/>
    <w:rPr>
      <w:sz w:val="16"/>
      <w:szCs w:val="16"/>
    </w:rPr>
  </w:style>
  <w:style w:type="character" w:styleId="EndnoteReference">
    <w:name w:val="Endnote Reference"/>
    <w:rPr>
      <w:vertAlign w:val="superscript"/>
    </w:rPr>
  </w:style>
  <w:style w:type="character" w:styleId="Hyperlink1">
    <w:name w:val="Hyperlink1"/>
    <w:qFormat/>
    <w:rPr>
      <w:color w:val="0000FF"/>
      <w:u w:val="single"/>
    </w:rPr>
  </w:style>
  <w:style w:type="character" w:styleId="FuzeileZchn">
    <w:name w:val="Fußzeile Zchn"/>
    <w:qFormat/>
    <w:rPr>
      <w:sz w:val="22"/>
      <w:szCs w:val="22"/>
      <w:lang w:val="es-ES" w:eastAsia="en-US"/>
    </w:rPr>
  </w:style>
  <w:style w:type="character" w:styleId="Seitenzahl">
    <w:name w:val="Seitenzahl"/>
    <w:basedOn w:val="Absatz-Standardschriftart"/>
    <w:qFormat/>
    <w:rPr/>
  </w:style>
  <w:style w:type="character" w:styleId="NichtaufgelsteErwhnung1">
    <w:name w:val="Nicht aufgelöste Erwähnung1"/>
    <w:qFormat/>
    <w:rPr>
      <w:color w:val="605E5C"/>
      <w:shd w:fill="E1DFDD" w:val="clear"/>
    </w:rPr>
  </w:style>
  <w:style w:type="character" w:styleId="Fett">
    <w:name w:val="Fett"/>
    <w:qFormat/>
    <w:rPr>
      <w:b/>
      <w:bCs/>
    </w:rPr>
  </w:style>
  <w:style w:type="character" w:styleId="BesuchterLink">
    <w:name w:val="BesuchterLink"/>
    <w:qFormat/>
    <w:rPr>
      <w:color w:val="800080"/>
      <w:u w:val="single"/>
    </w:rPr>
  </w:style>
  <w:style w:type="character" w:styleId="FootnoteReference">
    <w:name w:val="Footnote Reference"/>
    <w:rPr>
      <w:vertAlign w:val="superscript"/>
    </w:rPr>
  </w:style>
  <w:style w:type="character" w:styleId="HTMLAkronym">
    <w:name w:val="HTML Akronym"/>
    <w:qFormat/>
    <w:rPr>
      <w:rFonts w:ascii="Times New Roman" w:hAnsi="Times New Roman" w:cs="Times New Roman"/>
    </w:rPr>
  </w:style>
  <w:style w:type="character" w:styleId="SprechblasentextZchn">
    <w:name w:val="Sprechblasentext Zchn"/>
    <w:basedOn w:val="Absatz-Standardschriftart"/>
    <w:qFormat/>
    <w:rPr>
      <w:rFonts w:ascii="Tahoma" w:hAnsi="Tahoma" w:cs="Tahoma"/>
      <w:sz w:val="16"/>
      <w:szCs w:val="16"/>
      <w:lang w:val="es-ES" w:eastAsia="en-US"/>
    </w:rPr>
  </w:style>
  <w:style w:type="character" w:styleId="Platzhaltertext">
    <w:name w:val="Platzhaltertext"/>
    <w:basedOn w:val="Absatz-Standardschriftart"/>
    <w:qFormat/>
    <w:rPr>
      <w:color w:val="808080"/>
    </w:rPr>
  </w:style>
  <w:style w:type="character" w:styleId="NichtaufgelsteErwhnung">
    <w:name w:val="Nicht aufgelöste Erwähnung"/>
    <w:basedOn w:val="Absatz-Standardschriftart"/>
    <w:qFormat/>
    <w:rPr>
      <w:color w:val="605E5C"/>
      <w:shd w:fill="E1DFDD" w:val="clear"/>
    </w:rPr>
  </w:style>
  <w:style w:type="character" w:styleId="WWCharLFO1LVL1">
    <w:name w:val="WW_CharLFO1LVL1"/>
    <w:qFormat/>
    <w:rPr>
      <w:rFonts w:ascii="Symbol" w:hAnsi="Symbol"/>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2LVL1">
    <w:name w:val="WW_CharLFO2LVL1"/>
    <w:qFormat/>
    <w:rPr>
      <w:rFonts w:ascii="Tahoma" w:hAnsi="Tahoma"/>
    </w:rPr>
  </w:style>
  <w:style w:type="character" w:styleId="WWCharLFO2LVL2">
    <w:name w:val="WW_CharLFO2LVL2"/>
    <w:qFormat/>
    <w:rPr>
      <w:rFonts w:ascii="Tahoma" w:hAnsi="Tahoma"/>
    </w:rPr>
  </w:style>
  <w:style w:type="character" w:styleId="WWCharLFO2LVL3">
    <w:name w:val="WW_CharLFO2LVL3"/>
    <w:qFormat/>
    <w:rPr>
      <w:rFonts w:ascii="Tahoma" w:hAnsi="Tahoma"/>
    </w:rPr>
  </w:style>
  <w:style w:type="character" w:styleId="WWCharLFO2LVL4">
    <w:name w:val="WW_CharLFO2LVL4"/>
    <w:qFormat/>
    <w:rPr>
      <w:rFonts w:ascii="Tahoma" w:hAnsi="Tahoma"/>
    </w:rPr>
  </w:style>
  <w:style w:type="character" w:styleId="WWCharLFO2LVL5">
    <w:name w:val="WW_CharLFO2LVL5"/>
    <w:qFormat/>
    <w:rPr>
      <w:rFonts w:ascii="Tahoma" w:hAnsi="Tahoma"/>
    </w:rPr>
  </w:style>
  <w:style w:type="character" w:styleId="WWCharLFO2LVL6">
    <w:name w:val="WW_CharLFO2LVL6"/>
    <w:qFormat/>
    <w:rPr>
      <w:rFonts w:ascii="Tahoma" w:hAnsi="Tahoma"/>
    </w:rPr>
  </w:style>
  <w:style w:type="character" w:styleId="WWCharLFO2LVL7">
    <w:name w:val="WW_CharLFO2LVL7"/>
    <w:qFormat/>
    <w:rPr>
      <w:rFonts w:ascii="Tahoma" w:hAnsi="Tahoma"/>
    </w:rPr>
  </w:style>
  <w:style w:type="character" w:styleId="WWCharLFO2LVL8">
    <w:name w:val="WW_CharLFO2LVL8"/>
    <w:qFormat/>
    <w:rPr>
      <w:rFonts w:ascii="Tahoma" w:hAnsi="Tahoma"/>
    </w:rPr>
  </w:style>
  <w:style w:type="character" w:styleId="WWCharLFO2LVL9">
    <w:name w:val="WW_CharLFO2LVL9"/>
    <w:qFormat/>
    <w:rPr>
      <w:rFonts w:ascii="Tahoma" w:hAnsi="Tahoma"/>
    </w:rPr>
  </w:style>
  <w:style w:type="character" w:styleId="WWCharLFO8LVL1">
    <w:name w:val="WW_CharLFO8LVL1"/>
    <w:qFormat/>
    <w:rPr>
      <w:rFonts w:ascii="Arial" w:hAnsi="Arial" w:eastAsia="Times New Roman" w:cs="Arial"/>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rPr>
  </w:style>
  <w:style w:type="character" w:styleId="WWCharLFO8LVL4">
    <w:name w:val="WW_CharLFO8LVL4"/>
    <w:qFormat/>
    <w:rPr>
      <w:rFonts w:ascii="Symbol" w:hAnsi="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rPr>
  </w:style>
  <w:style w:type="character" w:styleId="WWCharLFO8LVL7">
    <w:name w:val="WW_CharLFO8LVL7"/>
    <w:qFormat/>
    <w:rPr>
      <w:rFonts w:ascii="Symbol" w:hAnsi="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rPr>
  </w:style>
  <w:style w:type="character" w:styleId="WWCharLFO9LVL1">
    <w:name w:val="WW_CharLFO9LVL1"/>
    <w:qFormat/>
    <w:rPr>
      <w:rFonts w:ascii="Arial" w:hAnsi="Arial" w:eastAsia="Times New Roman" w:cs="Aria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rPr>
  </w:style>
  <w:style w:type="character" w:styleId="WWCharLFO9LVL4">
    <w:name w:val="WW_CharLFO9LVL4"/>
    <w:qFormat/>
    <w:rPr>
      <w:rFonts w:ascii="Symbol" w:hAnsi="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rPr>
  </w:style>
  <w:style w:type="character" w:styleId="WWCharLFO9LVL7">
    <w:name w:val="WW_CharLFO9LVL7"/>
    <w:qFormat/>
    <w:rPr>
      <w:rFonts w:ascii="Symbol" w:hAnsi="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rPr>
  </w:style>
  <w:style w:type="character" w:styleId="WWCharLFO10LVL1">
    <w:name w:val="WW_CharLFO10LVL1"/>
    <w:qFormat/>
    <w:rPr>
      <w:rFonts w:ascii="Symbol" w:hAnsi="Symbol" w:cs="Times New Roman"/>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cs="Times New Roman"/>
    </w:rPr>
  </w:style>
  <w:style w:type="character" w:styleId="WWCharLFO10LVL4">
    <w:name w:val="WW_CharLFO10LVL4"/>
    <w:qFormat/>
    <w:rPr>
      <w:rFonts w:ascii="Symbol" w:hAnsi="Symbol" w:cs="Times New Roman"/>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cs="Times New Roman"/>
    </w:rPr>
  </w:style>
  <w:style w:type="character" w:styleId="WWCharLFO10LVL7">
    <w:name w:val="WW_CharLFO10LVL7"/>
    <w:qFormat/>
    <w:rPr>
      <w:rFonts w:ascii="Symbol" w:hAnsi="Symbol" w:cs="Times New Roman"/>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cs="Times New Roman"/>
    </w:rPr>
  </w:style>
  <w:style w:type="character" w:styleId="WWCharLFO11LVL1">
    <w:name w:val="WW_CharLFO11LVL1"/>
    <w:qFormat/>
    <w:rPr>
      <w:rFonts w:ascii="Times New Roman" w:hAnsi="Times New Roman" w:eastAsia="Times New Roman"/>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cs="Times New Roman"/>
    </w:rPr>
  </w:style>
  <w:style w:type="character" w:styleId="WWCharLFO11LVL4">
    <w:name w:val="WW_CharLFO11LVL4"/>
    <w:qFormat/>
    <w:rPr>
      <w:rFonts w:ascii="Symbol" w:hAnsi="Symbol" w:cs="Times New Roman"/>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cs="Times New Roman"/>
    </w:rPr>
  </w:style>
  <w:style w:type="character" w:styleId="WWCharLFO11LVL7">
    <w:name w:val="WW_CharLFO11LVL7"/>
    <w:qFormat/>
    <w:rPr>
      <w:rFonts w:ascii="Symbol" w:hAnsi="Symbol" w:cs="Times New Roman"/>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cs="Times New Roman"/>
    </w:rPr>
  </w:style>
  <w:style w:type="character" w:styleId="WWCharLFO12LVL1">
    <w:name w:val="WW_CharLFO12LVL1"/>
    <w:qFormat/>
    <w:rPr>
      <w:rFonts w:ascii="Times New Roman" w:hAnsi="Times New Roman" w:eastAsia="Times New Roman" w:cs="Times New Roman"/>
    </w:rPr>
  </w:style>
  <w:style w:type="character" w:styleId="WWCharLFO12LVL2">
    <w:name w:val="WW_CharLFO12LVL2"/>
    <w:qFormat/>
    <w:rPr>
      <w:rFonts w:ascii="Courier New" w:hAnsi="Courier New"/>
    </w:rPr>
  </w:style>
  <w:style w:type="character" w:styleId="WWCharLFO12LVL3">
    <w:name w:val="WW_CharLFO12LVL3"/>
    <w:qFormat/>
    <w:rPr>
      <w:rFonts w:ascii="Wingdings" w:hAnsi="Wingdings"/>
    </w:rPr>
  </w:style>
  <w:style w:type="character" w:styleId="WWCharLFO12LVL4">
    <w:name w:val="WW_CharLFO12LVL4"/>
    <w:qFormat/>
    <w:rPr>
      <w:rFonts w:ascii="Symbol" w:hAnsi="Symbol"/>
    </w:rPr>
  </w:style>
  <w:style w:type="character" w:styleId="WWCharLFO12LVL5">
    <w:name w:val="WW_CharLFO12LVL5"/>
    <w:qFormat/>
    <w:rPr>
      <w:rFonts w:ascii="Courier New" w:hAnsi="Courier New"/>
    </w:rPr>
  </w:style>
  <w:style w:type="character" w:styleId="WWCharLFO12LVL6">
    <w:name w:val="WW_CharLFO12LVL6"/>
    <w:qFormat/>
    <w:rPr>
      <w:rFonts w:ascii="Wingdings" w:hAnsi="Wingdings"/>
    </w:rPr>
  </w:style>
  <w:style w:type="character" w:styleId="WWCharLFO12LVL7">
    <w:name w:val="WW_CharLFO12LVL7"/>
    <w:qFormat/>
    <w:rPr>
      <w:rFonts w:ascii="Symbol" w:hAnsi="Symbol"/>
    </w:rPr>
  </w:style>
  <w:style w:type="character" w:styleId="WWCharLFO12LVL8">
    <w:name w:val="WW_CharLFO12LVL8"/>
    <w:qFormat/>
    <w:rPr>
      <w:rFonts w:ascii="Courier New" w:hAnsi="Courier New"/>
    </w:rPr>
  </w:style>
  <w:style w:type="character" w:styleId="WWCharLFO12LVL9">
    <w:name w:val="WW_CharLFO12LVL9"/>
    <w:qFormat/>
    <w:rPr>
      <w:rFonts w:ascii="Wingdings" w:hAnsi="Wingdings"/>
    </w:rPr>
  </w:style>
  <w:style w:type="character" w:styleId="WWCharLFO13LVL1">
    <w:name w:val="WW_CharLFO13LVL1"/>
    <w:qFormat/>
    <w:rPr>
      <w:rFonts w:ascii="Symbol" w:hAnsi="Symbol"/>
    </w:rPr>
  </w:style>
  <w:style w:type="character" w:styleId="WWCharLFO13LVL2">
    <w:name w:val="WW_CharLFO13LVL2"/>
    <w:qFormat/>
    <w:rPr>
      <w:rFonts w:ascii="Courier New" w:hAnsi="Courier New"/>
    </w:rPr>
  </w:style>
  <w:style w:type="character" w:styleId="WWCharLFO13LVL3">
    <w:name w:val="WW_CharLFO13LVL3"/>
    <w:qFormat/>
    <w:rPr>
      <w:rFonts w:ascii="Wingdings" w:hAnsi="Wingdings"/>
    </w:rPr>
  </w:style>
  <w:style w:type="character" w:styleId="WWCharLFO13LVL4">
    <w:name w:val="WW_CharLFO13LVL4"/>
    <w:qFormat/>
    <w:rPr>
      <w:rFonts w:ascii="Symbol" w:hAnsi="Symbol"/>
    </w:rPr>
  </w:style>
  <w:style w:type="character" w:styleId="WWCharLFO13LVL5">
    <w:name w:val="WW_CharLFO13LVL5"/>
    <w:qFormat/>
    <w:rPr>
      <w:rFonts w:ascii="Courier New" w:hAnsi="Courier New"/>
    </w:rPr>
  </w:style>
  <w:style w:type="character" w:styleId="WWCharLFO13LVL6">
    <w:name w:val="WW_CharLFO13LVL6"/>
    <w:qFormat/>
    <w:rPr>
      <w:rFonts w:ascii="Wingdings" w:hAnsi="Wingdings"/>
    </w:rPr>
  </w:style>
  <w:style w:type="character" w:styleId="WWCharLFO13LVL7">
    <w:name w:val="WW_CharLFO13LVL7"/>
    <w:qFormat/>
    <w:rPr>
      <w:rFonts w:ascii="Symbol" w:hAnsi="Symbol"/>
    </w:rPr>
  </w:style>
  <w:style w:type="character" w:styleId="WWCharLFO13LVL8">
    <w:name w:val="WW_CharLFO13LVL8"/>
    <w:qFormat/>
    <w:rPr>
      <w:rFonts w:ascii="Courier New" w:hAnsi="Courier New"/>
    </w:rPr>
  </w:style>
  <w:style w:type="character" w:styleId="WWCharLFO13LVL9">
    <w:name w:val="WW_CharLFO13LVL9"/>
    <w:qFormat/>
    <w:rPr>
      <w:rFonts w:ascii="Wingdings" w:hAnsi="Wingdings"/>
    </w:rPr>
  </w:style>
  <w:style w:type="character" w:styleId="WWCharLFO14LVL1">
    <w:name w:val="WW_CharLFO14LVL1"/>
    <w:qFormat/>
    <w:rPr>
      <w:rFonts w:ascii="Arial" w:hAnsi="Arial" w:eastAsia="Calibri" w:cs="Arial"/>
    </w:rPr>
  </w:style>
  <w:style w:type="character" w:styleId="WWCharLFO14LVL2">
    <w:name w:val="WW_CharLFO14LVL2"/>
    <w:qFormat/>
    <w:rPr>
      <w:rFonts w:ascii="Courier New" w:hAnsi="Courier New"/>
    </w:rPr>
  </w:style>
  <w:style w:type="character" w:styleId="WWCharLFO14LVL3">
    <w:name w:val="WW_CharLFO14LVL3"/>
    <w:qFormat/>
    <w:rPr>
      <w:rFonts w:ascii="Wingdings" w:hAnsi="Wingdings"/>
    </w:rPr>
  </w:style>
  <w:style w:type="character" w:styleId="WWCharLFO14LVL4">
    <w:name w:val="WW_CharLFO14LVL4"/>
    <w:qFormat/>
    <w:rPr>
      <w:rFonts w:ascii="Symbol" w:hAnsi="Symbol"/>
    </w:rPr>
  </w:style>
  <w:style w:type="character" w:styleId="WWCharLFO14LVL5">
    <w:name w:val="WW_CharLFO14LVL5"/>
    <w:qFormat/>
    <w:rPr>
      <w:rFonts w:ascii="Courier New" w:hAnsi="Courier New"/>
    </w:rPr>
  </w:style>
  <w:style w:type="character" w:styleId="WWCharLFO14LVL6">
    <w:name w:val="WW_CharLFO14LVL6"/>
    <w:qFormat/>
    <w:rPr>
      <w:rFonts w:ascii="Wingdings" w:hAnsi="Wingdings"/>
    </w:rPr>
  </w:style>
  <w:style w:type="character" w:styleId="WWCharLFO14LVL7">
    <w:name w:val="WW_CharLFO14LVL7"/>
    <w:qFormat/>
    <w:rPr>
      <w:rFonts w:ascii="Symbol" w:hAnsi="Symbol"/>
    </w:rPr>
  </w:style>
  <w:style w:type="character" w:styleId="WWCharLFO14LVL8">
    <w:name w:val="WW_CharLFO14LVL8"/>
    <w:qFormat/>
    <w:rPr>
      <w:rFonts w:ascii="Courier New" w:hAnsi="Courier New"/>
    </w:rPr>
  </w:style>
  <w:style w:type="character" w:styleId="WWCharLFO14LVL9">
    <w:name w:val="WW_CharLFO14LVL9"/>
    <w:qFormat/>
    <w:rPr>
      <w:rFonts w:ascii="Wingdings" w:hAnsi="Wingdings"/>
    </w:rPr>
  </w:style>
  <w:style w:type="character" w:styleId="Funotenanker">
    <w:name w:val="Fußnotenanker"/>
    <w:qFormat/>
    <w:rPr>
      <w:vertAlign w:val="superscript"/>
    </w:rPr>
  </w:style>
  <w:style w:type="character" w:styleId="Endnotenanker">
    <w:name w:val="Endnotenanker"/>
    <w:qFormat/>
    <w:rPr>
      <w:vertAlign w:val="superscript"/>
    </w:rPr>
  </w:style>
  <w:style w:type="character" w:styleId="Hyperlink">
    <w:name w:val="Hyperlink"/>
    <w:rPr>
      <w:color w:val="000080"/>
      <w:u w:val="single"/>
    </w:rPr>
  </w:style>
  <w:style w:type="character" w:styleId="FollowedHyperlink">
    <w:name w:val="FollowedHyperlink"/>
    <w:rPr>
      <w:color w:val="800000"/>
      <w:u w:val="single"/>
    </w:rPr>
  </w:style>
  <w:style w:type="character" w:styleId="Aufzhlungszeichen">
    <w:name w:val="Aufzählungszeichen"/>
    <w:qFormat/>
    <w:rPr>
      <w:rFonts w:ascii="OpenSymbol" w:hAnsi="OpenSymbol" w:eastAsia="OpenSymbol" w:cs="OpenSymbol"/>
    </w:rPr>
  </w:style>
  <w:style w:type="character" w:styleId="Funotenzeichen">
    <w:name w:val="Fußnotenzeichen"/>
    <w:qFormat/>
    <w:rPr/>
  </w:style>
  <w:style w:type="character" w:styleId="Endnotenzeichen">
    <w:name w:val="Endnotenzeichen"/>
    <w:qFormat/>
    <w:rPr/>
  </w:style>
  <w:style w:type="paragraph" w:styleId="berschrift">
    <w:name w:val="Überschrift"/>
    <w:basedOn w:val="Normal"/>
    <w:next w:val="BodyText"/>
    <w:qFormat/>
    <w:pPr>
      <w:keepNext w:val="true"/>
      <w:spacing w:before="240" w:after="120"/>
    </w:pPr>
    <w:rPr>
      <w:rFonts w:ascii="Liberation Sans" w:hAnsi="Liberation Sans" w:eastAsia="Noto Sans Mono CJK JP" w:cs="Noto Sans Arabic UI"/>
      <w:sz w:val="28"/>
      <w:szCs w:val="28"/>
    </w:rPr>
  </w:style>
  <w:style w:type="paragraph" w:styleId="BodyText">
    <w:name w:val="Body Text"/>
    <w:basedOn w:val="Normal"/>
    <w:pPr>
      <w:spacing w:lineRule="auto" w:line="276" w:before="0" w:after="140"/>
    </w:pPr>
    <w:rPr/>
  </w:style>
  <w:style w:type="paragraph" w:styleId="StandardWeb">
    <w:name w:val="Standard (Web)"/>
    <w:basedOn w:val="Normal"/>
    <w:qFormat/>
    <w:pPr>
      <w:suppressAutoHyphens w:val="false"/>
      <w:spacing w:lineRule="auto" w:line="240" w:before="100" w:after="100"/>
    </w:pPr>
    <w:rPr>
      <w:rFonts w:ascii="Times New Roman" w:hAnsi="Times New Roman" w:eastAsia="Times New Roman"/>
      <w:sz w:val="24"/>
      <w:szCs w:val="24"/>
      <w:lang w:eastAsia="es-ES"/>
    </w:rPr>
  </w:style>
  <w:style w:type="paragraph" w:styleId="CHNTTitle">
    <w:name w:val="CHNT_Title"/>
    <w:basedOn w:val="Normal"/>
    <w:qFormat/>
    <w:pPr>
      <w:numPr>
        <w:ilvl w:val="0"/>
        <w:numId w:val="0"/>
      </w:numPr>
      <w:suppressAutoHyphens w:val="false"/>
      <w:spacing w:before="480" w:after="240"/>
      <w:outlineLvl w:val="0"/>
    </w:pPr>
    <w:rPr>
      <w:rFonts w:ascii="Arial" w:hAnsi="Arial" w:cs="Arial"/>
      <w:b/>
      <w:bCs/>
      <w:sz w:val="28"/>
      <w:szCs w:val="24"/>
      <w:lang w:val="en-GB"/>
    </w:rPr>
  </w:style>
  <w:style w:type="paragraph" w:styleId="CHNTTitleSubtitle">
    <w:name w:val="CHNT_Title_Subtitle"/>
    <w:basedOn w:val="CHNTTitle"/>
    <w:qFormat/>
    <w:pPr>
      <w:numPr>
        <w:ilvl w:val="0"/>
        <w:numId w:val="0"/>
      </w:numPr>
      <w:suppressAutoHyphens w:val="false"/>
      <w:spacing w:before="0" w:after="0"/>
    </w:pPr>
    <w:rPr>
      <w:bCs w:val="false"/>
      <w:sz w:val="24"/>
    </w:rPr>
  </w:style>
  <w:style w:type="paragraph" w:styleId="CHNTHeading1">
    <w:name w:val="CHNT_Heading 1"/>
    <w:basedOn w:val="CHNTText"/>
    <w:next w:val="CHNTText"/>
    <w:qFormat/>
    <w:pPr>
      <w:keepNext w:val="true"/>
      <w:numPr>
        <w:ilvl w:val="0"/>
        <w:numId w:val="0"/>
      </w:numPr>
      <w:suppressAutoHyphens w:val="false"/>
      <w:spacing w:before="360" w:after="0"/>
      <w:outlineLvl w:val="1"/>
    </w:pPr>
    <w:rPr>
      <w:b/>
      <w:bCs/>
      <w:sz w:val="24"/>
    </w:rPr>
  </w:style>
  <w:style w:type="paragraph" w:styleId="CHNTText">
    <w:name w:val="CHNT_Text"/>
    <w:basedOn w:val="Normal"/>
    <w:qFormat/>
    <w:pPr>
      <w:suppressAutoHyphens w:val="false"/>
      <w:spacing w:lineRule="auto" w:line="312" w:before="80" w:after="80"/>
      <w:jc w:val="both"/>
    </w:pPr>
    <w:rPr>
      <w:rFonts w:ascii="Arial" w:hAnsi="Arial" w:cs="Arial"/>
      <w:lang w:val="en-GB"/>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536" w:leader="none"/>
        <w:tab w:val="right" w:pos="9072" w:leader="none"/>
      </w:tabs>
      <w:suppressAutoHyphens w:val="false"/>
    </w:pPr>
    <w:rPr/>
  </w:style>
  <w:style w:type="paragraph" w:styleId="Footer">
    <w:name w:val="Footer"/>
    <w:basedOn w:val="Normal"/>
    <w:pPr>
      <w:tabs>
        <w:tab w:val="clear" w:pos="709"/>
        <w:tab w:val="center" w:pos="4536" w:leader="none"/>
        <w:tab w:val="right" w:pos="9072" w:leader="none"/>
      </w:tabs>
      <w:suppressAutoHyphens w:val="false"/>
    </w:pPr>
    <w:rPr/>
  </w:style>
  <w:style w:type="paragraph" w:styleId="CHNTReferences">
    <w:name w:val="CHNT_References"/>
    <w:basedOn w:val="CHNTText"/>
    <w:qFormat/>
    <w:pPr>
      <w:tabs>
        <w:tab w:val="clear" w:pos="709"/>
      </w:tabs>
      <w:suppressAutoHyphens w:val="false"/>
      <w:overflowPunct w:val="false"/>
      <w:autoSpaceDE w:val="false"/>
      <w:ind w:hanging="284" w:start="284"/>
      <w:textAlignment w:val="baseline"/>
    </w:pPr>
    <w:rPr>
      <w:rFonts w:eastAsia="Times New Roman"/>
      <w:color w:val="000000"/>
      <w:sz w:val="18"/>
      <w:szCs w:val="20"/>
      <w:lang w:eastAsia="de-DE"/>
    </w:rPr>
  </w:style>
  <w:style w:type="paragraph" w:styleId="Textkrper">
    <w:name w:val="Textkörper"/>
    <w:basedOn w:val="Normal"/>
    <w:qFormat/>
    <w:pPr>
      <w:suppressAutoHyphens w:val="false"/>
      <w:spacing w:before="0" w:after="120"/>
    </w:pPr>
    <w:rPr/>
  </w:style>
  <w:style w:type="paragraph" w:styleId="CHNTHeading2">
    <w:name w:val="CHNT_Heading 2"/>
    <w:basedOn w:val="CHNTHeading1"/>
    <w:next w:val="CHNTText"/>
    <w:qFormat/>
    <w:pPr>
      <w:numPr>
        <w:ilvl w:val="0"/>
        <w:numId w:val="0"/>
      </w:numPr>
      <w:suppressAutoHyphens w:val="false"/>
      <w:spacing w:before="220" w:after="40"/>
      <w:outlineLvl w:val="2"/>
    </w:pPr>
    <w:rPr>
      <w:sz w:val="22"/>
    </w:rPr>
  </w:style>
  <w:style w:type="paragraph" w:styleId="CHNTFootnote">
    <w:name w:val="CHNT_Footnote"/>
    <w:qFormat/>
    <w:pPr>
      <w:keepNext w:val="false"/>
      <w:keepLines w:val="false"/>
      <w:pageBreakBefore w:val="false"/>
      <w:widowControl/>
      <w:pBdr/>
      <w:shd w:fill="auto" w:val="clear"/>
      <w:suppressAutoHyphens w:val="true"/>
      <w:kinsoku w:val="true"/>
      <w:overflowPunct w:val="true"/>
      <w:autoSpaceDE w:val="true"/>
      <w:bidi w:val="0"/>
      <w:snapToGrid w:val="true"/>
      <w:spacing w:before="0" w:after="40" w:lineRule="auto" w:line="240"/>
      <w:jc w:val="start"/>
      <w:textAlignment w:val="auto"/>
    </w:pPr>
    <w:rPr>
      <w:rFonts w:ascii="Arial" w:hAnsi="Arial"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it-IT" w:eastAsia="de-AT" w:bidi="ar-SA"/>
    </w:rPr>
  </w:style>
  <w:style w:type="paragraph" w:styleId="Sprechblasentext">
    <w:name w:val="Sprechblasentext"/>
    <w:basedOn w:val="Normal"/>
    <w:qFormat/>
    <w:pPr>
      <w:suppressAutoHyphens w:val="false"/>
      <w:spacing w:lineRule="auto" w:line="240" w:before="0" w:after="0"/>
    </w:pPr>
    <w:rPr>
      <w:rFonts w:ascii="Tahoma" w:hAnsi="Tahoma" w:cs="Tahoma"/>
      <w:sz w:val="16"/>
      <w:szCs w:val="16"/>
    </w:rPr>
  </w:style>
  <w:style w:type="paragraph" w:styleId="CHNTHeader">
    <w:name w:val="CHNT_Header"/>
    <w:basedOn w:val="Header"/>
    <w:qFormat/>
    <w:pPr>
      <w:tabs>
        <w:tab w:val="clear" w:pos="4536"/>
        <w:tab w:val="clear" w:pos="9072"/>
        <w:tab w:val="right" w:pos="9639" w:leader="none"/>
      </w:tabs>
      <w:suppressAutoHyphens w:val="false"/>
      <w:spacing w:before="180" w:after="160"/>
      <w:jc w:val="end"/>
    </w:pPr>
    <w:rPr>
      <w:rFonts w:ascii="Arial" w:hAnsi="Arial" w:cs="Arial"/>
      <w:color w:val="7F7F7F"/>
      <w:sz w:val="18"/>
      <w:szCs w:val="18"/>
      <w:lang w:val="en-GB"/>
    </w:rPr>
  </w:style>
  <w:style w:type="paragraph" w:styleId="Tabelleninhalt">
    <w:name w:val="Tabelleninhalt"/>
    <w:basedOn w:val="Normal"/>
    <w:qFormat/>
    <w:pPr>
      <w:widowControl w:val="false"/>
      <w:suppressLineNumbers/>
    </w:pPr>
    <w:rPr/>
  </w:style>
  <w:style w:type="paragraph" w:styleId="EnvelopeAddress">
    <w:name w:val="Envelope Address"/>
    <w:basedOn w:val="Normal"/>
    <w:pPr>
      <w:suppressLineNumbers/>
      <w:spacing w:before="0" w:after="60"/>
    </w:pPr>
    <w:rPr/>
  </w:style>
  <w:style w:type="paragraph" w:styleId="EndnoteText">
    <w:name w:val="Endnote Text"/>
    <w:basedOn w:val="Normal"/>
    <w:pPr>
      <w:suppressLineNumbers/>
      <w:ind w:hanging="340" w:start="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bjects.library.manchester.ac.uk/referencing-new/harvard" TargetMode="External"/><Relationship Id="rId3" Type="http://schemas.openxmlformats.org/officeDocument/2006/relationships/hyperlink" Target="https://doi.org/10.14434/sdh.v1i2.23262" TargetMode="External"/><Relationship Id="rId4" Type="http://schemas.openxmlformats.org/officeDocument/2006/relationships/hyperlink" Target="https://doi.org/10.14434/sdh.v1i2.23262" TargetMode="External"/><Relationship Id="rId5" Type="http://schemas.openxmlformats.org/officeDocument/2006/relationships/hyperlink" Target="http://credit.niso.org/" TargetMode="External"/><Relationship Id="rId6" Type="http://schemas.openxmlformats.org/officeDocument/2006/relationships/hyperlink" Target="https://ojs.chnt.at/index.php/proceedings/about/submissions" TargetMode="External"/><Relationship Id="rId7" Type="http://schemas.openxmlformats.org/officeDocument/2006/relationships/hyperlink" Target="" TargetMode="External"/><Relationship Id="rId8" Type="http://schemas.openxmlformats.org/officeDocument/2006/relationships/hyperlink" Target="https://ojs.chnt.at/index.php/proceedings/libraryFiles/downloadPublic/147"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yperlink" Target="http://credit.niso.org/" TargetMode="External"/><Relationship Id="rId16" Type="http://schemas.openxmlformats.org/officeDocument/2006/relationships/hyperlink" Target="https://subjects.library.manchester.ac.uk/referencing/referencing-harvard" TargetMode="Externa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header" Target="header6.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LibreOffice/24.2.6.2$Linux_X86_64 LibreOffice_project/420$Build-2</Application>
  <AppVersion>15.0000</AppVersion>
  <Pages>6</Pages>
  <Words>1119</Words>
  <Characters>6261</Characters>
  <CharactersWithSpaces>7303</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2023-11-27T14:15:00Z</dcterms:created>
  <dc:creator/>
  <dc:description/>
  <dc:language>de-DE</dc:language>
  <cp:lastModifiedBy/>
  <dcterms:modified xsi:type="dcterms:W3CDTF">2024-11-19T13:36:47Z</dcterms:modified>
  <cp:revision>5</cp:revision>
  <dc:subject/>
  <dc:title/>
</cp:coreProperties>
</file>